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AAEA8" w14:textId="77777777" w:rsidR="00C15E1F" w:rsidRPr="000D0BBA" w:rsidRDefault="00C15E1F" w:rsidP="00076B9F">
      <w:pPr>
        <w:jc w:val="center"/>
        <w:rPr>
          <w:b/>
          <w:bCs/>
        </w:rPr>
      </w:pPr>
      <w:r w:rsidRPr="000D0BBA">
        <w:rPr>
          <w:b/>
          <w:bCs/>
        </w:rPr>
        <w:t xml:space="preserve">ALIMENTOS COMPENSATÓRIOS COM PERSPECTIVA DE GÊNERO: </w:t>
      </w:r>
    </w:p>
    <w:p w14:paraId="0F5B2EF0" w14:textId="77777777" w:rsidR="00C15E1F" w:rsidRPr="000D0BBA" w:rsidRDefault="00C15E1F" w:rsidP="00076B9F">
      <w:pPr>
        <w:jc w:val="center"/>
        <w:rPr>
          <w:b/>
          <w:bCs/>
        </w:rPr>
      </w:pPr>
      <w:r w:rsidRPr="000D0BBA">
        <w:rPr>
          <w:b/>
          <w:bCs/>
        </w:rPr>
        <w:t>Uma análise sobre o momento processual para sua fixação à luz do Protocolo de Julga</w:t>
      </w:r>
      <w:r>
        <w:rPr>
          <w:b/>
          <w:bCs/>
        </w:rPr>
        <w:t>mento com Perspectiva de Gênero</w:t>
      </w:r>
      <w:r w:rsidRPr="000D0BBA">
        <w:rPr>
          <w:b/>
          <w:bCs/>
        </w:rPr>
        <w:t xml:space="preserve"> </w:t>
      </w:r>
    </w:p>
    <w:p w14:paraId="32033C6E" w14:textId="0E331A8E" w:rsidR="00076B9F" w:rsidRPr="00B8082F" w:rsidRDefault="00076B9F" w:rsidP="00076B9F">
      <w:pPr>
        <w:jc w:val="center"/>
        <w:rPr>
          <w:rFonts w:eastAsia="Times New Roman"/>
          <w:sz w:val="21"/>
          <w:szCs w:val="21"/>
          <w:lang w:val="en-US"/>
        </w:rPr>
      </w:pPr>
      <w:r w:rsidRPr="00A246B7">
        <w:rPr>
          <w:rFonts w:eastAsia="Times New Roman"/>
          <w:lang w:val="en-US"/>
        </w:rPr>
        <w:br/>
      </w:r>
      <w:r w:rsidRPr="00B8082F">
        <w:rPr>
          <w:b/>
          <w:bCs/>
          <w:sz w:val="21"/>
          <w:szCs w:val="21"/>
          <w:lang w:val="en-US"/>
        </w:rPr>
        <w:t xml:space="preserve">COMPENSATORY FOODS WITH A GENDER PERSPECTIVE: </w:t>
      </w:r>
      <w:r w:rsidR="00B8082F">
        <w:rPr>
          <w:b/>
          <w:bCs/>
          <w:sz w:val="21"/>
          <w:szCs w:val="21"/>
          <w:lang w:val="en-US"/>
        </w:rPr>
        <w:t>a</w:t>
      </w:r>
      <w:r w:rsidRPr="00B8082F">
        <w:rPr>
          <w:b/>
          <w:bCs/>
          <w:sz w:val="21"/>
          <w:szCs w:val="21"/>
          <w:lang w:val="en-US"/>
        </w:rPr>
        <w:t>n analysis of the procedural moment for its establishment in light of the Trial Protocol with a Gender Perspective</w:t>
      </w:r>
    </w:p>
    <w:p w14:paraId="016BEDEE" w14:textId="1CB9927E" w:rsidR="00914C34" w:rsidRPr="00076B9F" w:rsidRDefault="00914C34" w:rsidP="00583B57">
      <w:pPr>
        <w:spacing w:line="360" w:lineRule="auto"/>
        <w:rPr>
          <w:lang w:val="en-US"/>
        </w:rPr>
      </w:pPr>
    </w:p>
    <w:p w14:paraId="1C89E01E" w14:textId="5200418D" w:rsidR="00B8082F" w:rsidRPr="008C3D4B" w:rsidRDefault="00B8082F" w:rsidP="00B8082F">
      <w:pPr>
        <w:shd w:val="clear" w:color="auto" w:fill="FFFFFF"/>
        <w:jc w:val="right"/>
        <w:rPr>
          <w:b/>
          <w:sz w:val="22"/>
          <w:szCs w:val="22"/>
        </w:rPr>
      </w:pPr>
      <w:proofErr w:type="spellStart"/>
      <w:r>
        <w:rPr>
          <w:b/>
          <w:sz w:val="22"/>
          <w:szCs w:val="22"/>
        </w:rPr>
        <w:t>Graz</w:t>
      </w:r>
      <w:bookmarkStart w:id="0" w:name="_GoBack"/>
      <w:bookmarkEnd w:id="0"/>
      <w:r>
        <w:rPr>
          <w:b/>
          <w:sz w:val="22"/>
          <w:szCs w:val="22"/>
        </w:rPr>
        <w:t>iele</w:t>
      </w:r>
      <w:proofErr w:type="spellEnd"/>
      <w:r>
        <w:rPr>
          <w:b/>
          <w:sz w:val="22"/>
          <w:szCs w:val="22"/>
        </w:rPr>
        <w:t xml:space="preserve"> Daiane Lucas</w:t>
      </w:r>
      <w:r w:rsidRPr="008C3D4B">
        <w:rPr>
          <w:b/>
          <w:sz w:val="22"/>
          <w:szCs w:val="22"/>
          <w:vertAlign w:val="superscript"/>
        </w:rPr>
        <w:t xml:space="preserve"> </w:t>
      </w:r>
      <w:r w:rsidRPr="008C3D4B">
        <w:rPr>
          <w:rStyle w:val="Refdenotaderodap"/>
          <w:b/>
          <w:sz w:val="22"/>
          <w:szCs w:val="22"/>
        </w:rPr>
        <w:footnoteReference w:id="1"/>
      </w:r>
    </w:p>
    <w:p w14:paraId="70679405" w14:textId="550824CC" w:rsidR="00B8082F" w:rsidRPr="008C3D4B" w:rsidRDefault="00B8082F" w:rsidP="00B8082F">
      <w:pPr>
        <w:shd w:val="clear" w:color="auto" w:fill="FFFFFF"/>
        <w:jc w:val="right"/>
        <w:rPr>
          <w:b/>
          <w:sz w:val="22"/>
          <w:szCs w:val="22"/>
          <w:vertAlign w:val="superscript"/>
        </w:rPr>
      </w:pPr>
      <w:r>
        <w:rPr>
          <w:b/>
          <w:sz w:val="22"/>
          <w:szCs w:val="22"/>
        </w:rPr>
        <w:t>Laura Gonçalves Silva Oliveira</w:t>
      </w:r>
      <w:r w:rsidRPr="008C3D4B">
        <w:rPr>
          <w:b/>
          <w:sz w:val="22"/>
          <w:szCs w:val="22"/>
          <w:vertAlign w:val="superscript"/>
        </w:rPr>
        <w:t xml:space="preserve"> </w:t>
      </w:r>
      <w:r w:rsidRPr="008C3D4B">
        <w:rPr>
          <w:rStyle w:val="Refdenotaderodap"/>
          <w:b/>
          <w:sz w:val="22"/>
          <w:szCs w:val="22"/>
        </w:rPr>
        <w:footnoteReference w:id="2"/>
      </w:r>
    </w:p>
    <w:p w14:paraId="50A67BB3" w14:textId="77777777" w:rsidR="00B8082F" w:rsidRDefault="00B8082F" w:rsidP="00B8082F">
      <w:pPr>
        <w:shd w:val="clear" w:color="auto" w:fill="FFFFFF"/>
        <w:jc w:val="right"/>
        <w:rPr>
          <w:b/>
          <w:bCs/>
          <w:sz w:val="22"/>
          <w:szCs w:val="22"/>
        </w:rPr>
      </w:pPr>
      <w:r w:rsidRPr="008C3D4B">
        <w:rPr>
          <w:b/>
          <w:bCs/>
          <w:sz w:val="22"/>
          <w:szCs w:val="22"/>
        </w:rPr>
        <w:t>Aluísio Santos de Oliveira</w:t>
      </w:r>
      <w:r w:rsidRPr="008C3D4B">
        <w:rPr>
          <w:rStyle w:val="Refdenotaderodap"/>
          <w:b/>
          <w:bCs/>
          <w:sz w:val="22"/>
          <w:szCs w:val="22"/>
        </w:rPr>
        <w:t xml:space="preserve"> </w:t>
      </w:r>
      <w:r w:rsidRPr="008C3D4B">
        <w:rPr>
          <w:rStyle w:val="Refdenotaderodap"/>
          <w:b/>
          <w:bCs/>
          <w:sz w:val="22"/>
          <w:szCs w:val="22"/>
        </w:rPr>
        <w:footnoteReference w:id="3"/>
      </w:r>
    </w:p>
    <w:p w14:paraId="56924F32" w14:textId="241F7A75" w:rsidR="00A246B7" w:rsidRPr="008C3D4B" w:rsidRDefault="00A246B7" w:rsidP="00A246B7">
      <w:pPr>
        <w:shd w:val="clear" w:color="auto" w:fill="FFFFFF"/>
        <w:jc w:val="right"/>
        <w:rPr>
          <w:b/>
          <w:sz w:val="22"/>
          <w:szCs w:val="22"/>
        </w:rPr>
      </w:pPr>
      <w:r w:rsidRPr="00F71CD3">
        <w:rPr>
          <w:b/>
          <w:bCs/>
          <w:sz w:val="22"/>
          <w:szCs w:val="22"/>
        </w:rPr>
        <w:t>Camila Aparecida Duarte Diniz</w:t>
      </w:r>
      <w:r w:rsidRPr="00F71CD3">
        <w:rPr>
          <w:rStyle w:val="Refdenotaderodap"/>
          <w:b/>
          <w:bCs/>
          <w:sz w:val="22"/>
          <w:szCs w:val="22"/>
        </w:rPr>
        <w:footnoteReference w:id="4"/>
      </w:r>
    </w:p>
    <w:p w14:paraId="1DE473D9" w14:textId="77777777" w:rsidR="00B8082F" w:rsidRPr="008C3D4B" w:rsidRDefault="00B8082F" w:rsidP="00B8082F">
      <w:pPr>
        <w:shd w:val="clear" w:color="auto" w:fill="FFFFFF"/>
        <w:jc w:val="right"/>
        <w:rPr>
          <w:b/>
          <w:sz w:val="22"/>
          <w:szCs w:val="22"/>
        </w:rPr>
      </w:pPr>
      <w:r w:rsidRPr="008C3D4B">
        <w:rPr>
          <w:b/>
          <w:sz w:val="22"/>
          <w:szCs w:val="22"/>
        </w:rPr>
        <w:t>Alexandre Pires Duarte</w:t>
      </w:r>
      <w:r w:rsidRPr="008C3D4B">
        <w:rPr>
          <w:rStyle w:val="Refdenotaderodap"/>
          <w:b/>
          <w:sz w:val="22"/>
          <w:szCs w:val="22"/>
        </w:rPr>
        <w:t xml:space="preserve"> </w:t>
      </w:r>
      <w:r w:rsidRPr="008C3D4B">
        <w:rPr>
          <w:rStyle w:val="Refdenotaderodap"/>
          <w:b/>
          <w:bCs/>
          <w:sz w:val="22"/>
          <w:szCs w:val="22"/>
        </w:rPr>
        <w:footnoteReference w:id="5"/>
      </w:r>
    </w:p>
    <w:p w14:paraId="66EAE53D" w14:textId="4C3E01BB" w:rsidR="00924E63" w:rsidRPr="001565D9" w:rsidRDefault="00B8082F" w:rsidP="001565D9">
      <w:pPr>
        <w:pStyle w:val="Standard"/>
        <w:spacing w:after="0"/>
        <w:jc w:val="right"/>
        <w:rPr>
          <w:rFonts w:ascii="Times New Roman" w:hAnsi="Times New Roman" w:cs="Times New Roman"/>
          <w:b/>
        </w:rPr>
        <w:sectPr w:rsidR="00924E63" w:rsidRPr="001565D9" w:rsidSect="0015559B">
          <w:headerReference w:type="default" r:id="rId8"/>
          <w:headerReference w:type="first" r:id="rId9"/>
          <w:pgSz w:w="11909" w:h="16834"/>
          <w:pgMar w:top="1701" w:right="1134" w:bottom="1134" w:left="1701" w:header="720" w:footer="720" w:gutter="0"/>
          <w:pgNumType w:start="1"/>
          <w:cols w:space="720"/>
          <w:titlePg/>
          <w:docGrid w:linePitch="299"/>
        </w:sectPr>
      </w:pPr>
      <w:r w:rsidRPr="008C3D4B">
        <w:rPr>
          <w:rFonts w:ascii="Times New Roman" w:hAnsi="Times New Roman" w:cs="Times New Roman"/>
          <w:b/>
          <w:bCs/>
        </w:rPr>
        <w:t>Marcelo Silva Ângelo Ferreira</w:t>
      </w:r>
      <w:r w:rsidRPr="008C3D4B">
        <w:rPr>
          <w:rStyle w:val="Refdenotaderodap"/>
          <w:rFonts w:ascii="Times New Roman" w:hAnsi="Times New Roman" w:cs="Times New Roman"/>
          <w:b/>
          <w:bCs/>
        </w:rPr>
        <w:t xml:space="preserve"> </w:t>
      </w:r>
      <w:r w:rsidRPr="008C3D4B">
        <w:rPr>
          <w:rStyle w:val="Refdenotaderodap"/>
          <w:rFonts w:ascii="Times New Roman" w:hAnsi="Times New Roman" w:cs="Times New Roman"/>
          <w:b/>
          <w:bCs/>
        </w:rPr>
        <w:footnoteReference w:id="6"/>
      </w:r>
    </w:p>
    <w:p w14:paraId="2443EBD2" w14:textId="77777777" w:rsidR="0045695A" w:rsidRDefault="0045695A" w:rsidP="001565D9">
      <w:pPr>
        <w:rPr>
          <w:b/>
        </w:rPr>
      </w:pPr>
    </w:p>
    <w:p w14:paraId="1410F889" w14:textId="62D75F5E" w:rsidR="0045695A" w:rsidRDefault="00AF05BE" w:rsidP="001565D9">
      <w:pPr>
        <w:jc w:val="center"/>
        <w:rPr>
          <w:b/>
        </w:rPr>
      </w:pPr>
      <w:r w:rsidRPr="00AF05BE">
        <w:rPr>
          <w:b/>
        </w:rPr>
        <w:t>RESUMO</w:t>
      </w:r>
    </w:p>
    <w:p w14:paraId="47BCA655" w14:textId="348E7398" w:rsidR="002E5AA8" w:rsidRPr="00C53D59" w:rsidRDefault="0045695A" w:rsidP="002E5AA8">
      <w:pPr>
        <w:jc w:val="both"/>
      </w:pPr>
      <w:r>
        <w:t xml:space="preserve">O presente artigo tem como objetivo analisar </w:t>
      </w:r>
      <w:r w:rsidR="00C53D59" w:rsidRPr="00C53D59">
        <w:t>qual o momento processual adequado para fixação dos alimentos compensatórios</w:t>
      </w:r>
      <w:r w:rsidR="00C53D59">
        <w:t xml:space="preserve"> no atual ordenamento jurídico brasileiro</w:t>
      </w:r>
      <w:r w:rsidR="003E187C">
        <w:t xml:space="preserve">, considerando os casos de </w:t>
      </w:r>
      <w:r w:rsidR="00C53D59" w:rsidRPr="00C53D59">
        <w:t>desequilíbrio econômico-financeiro para as mulheres</w:t>
      </w:r>
      <w:r w:rsidR="003E187C">
        <w:t xml:space="preserve"> devido ao divórcio. Utiliza-se</w:t>
      </w:r>
      <w:r w:rsidR="00C53D59">
        <w:t xml:space="preserve"> </w:t>
      </w:r>
      <w:r w:rsidR="00AF05BE" w:rsidRPr="00C53D59">
        <w:t>c</w:t>
      </w:r>
      <w:r w:rsidR="00C53D59">
        <w:t xml:space="preserve">omo base </w:t>
      </w:r>
      <w:r w:rsidR="003E187C">
        <w:t>as doutrinas do</w:t>
      </w:r>
      <w:r w:rsidR="00C53D59">
        <w:t xml:space="preserve"> Direito Civil e Direito de F</w:t>
      </w:r>
      <w:r w:rsidR="003E187C">
        <w:t>amília, bem como a análise</w:t>
      </w:r>
      <w:r w:rsidR="00C53D59">
        <w:t xml:space="preserve"> </w:t>
      </w:r>
      <w:r w:rsidR="003E187C">
        <w:t>d</w:t>
      </w:r>
      <w:r w:rsidR="00C53D59">
        <w:t>o</w:t>
      </w:r>
      <w:r w:rsidR="00AF05BE" w:rsidRPr="00C53D59">
        <w:t xml:space="preserve"> Protocolo de Julgamento </w:t>
      </w:r>
      <w:r w:rsidR="00C53D59">
        <w:t>com Perspectiva de Gênero do Conselho Nacional de Justiça (CNJ</w:t>
      </w:r>
      <w:r w:rsidR="00394323">
        <w:t>)</w:t>
      </w:r>
      <w:r w:rsidR="003E187C">
        <w:t>. O trabalho pretende refletir sobre a aplicabilidade prática desse</w:t>
      </w:r>
      <w:r w:rsidR="00AF05BE" w:rsidRPr="00C53D59">
        <w:t xml:space="preserve"> Protocolo, uma vez que </w:t>
      </w:r>
      <w:r w:rsidR="003E187C">
        <w:t xml:space="preserve">o mesmo </w:t>
      </w:r>
      <w:r w:rsidR="00AF05BE" w:rsidRPr="00C53D59">
        <w:t>foi criado como uma medida de política pública para co</w:t>
      </w:r>
      <w:r w:rsidR="003E187C">
        <w:t>mbater a desigualdade de gênero. A efetiva aplicação do Protocolo é necessária</w:t>
      </w:r>
      <w:r w:rsidR="00AF05BE" w:rsidRPr="00C53D59">
        <w:t xml:space="preserve"> para promover o empoderamento feminino </w:t>
      </w:r>
      <w:r w:rsidR="003E187C">
        <w:t xml:space="preserve">e a </w:t>
      </w:r>
      <w:r w:rsidR="00AF05BE" w:rsidRPr="00C53D59">
        <w:t>luta pelos direitos das mulheres.</w:t>
      </w:r>
    </w:p>
    <w:p w14:paraId="20E6ADBE" w14:textId="77777777" w:rsidR="002E5AA8" w:rsidRDefault="002E5AA8" w:rsidP="002E5AA8">
      <w:pPr>
        <w:jc w:val="both"/>
      </w:pPr>
    </w:p>
    <w:p w14:paraId="32307775" w14:textId="43453DDC" w:rsidR="00DC7F8D" w:rsidRDefault="002E5AA8" w:rsidP="002E5AA8">
      <w:pPr>
        <w:jc w:val="both"/>
      </w:pPr>
      <w:r w:rsidRPr="00DC7F8D">
        <w:rPr>
          <w:b/>
        </w:rPr>
        <w:t>Palavras-chaves</w:t>
      </w:r>
      <w:r>
        <w:t>: Alimentos</w:t>
      </w:r>
      <w:r w:rsidR="0045695A">
        <w:t xml:space="preserve"> Compensatórios. Direito Civil. Direito de F</w:t>
      </w:r>
      <w:r w:rsidR="00A70443">
        <w:t>amília</w:t>
      </w:r>
      <w:r w:rsidR="0045695A">
        <w:t>. Direito das mulheres.</w:t>
      </w:r>
    </w:p>
    <w:p w14:paraId="2A0DE096" w14:textId="741260A3" w:rsidR="00924BDA" w:rsidRDefault="00924BDA" w:rsidP="002E5AA8">
      <w:pPr>
        <w:jc w:val="both"/>
      </w:pPr>
    </w:p>
    <w:p w14:paraId="00123D89" w14:textId="77777777" w:rsidR="00924BDA" w:rsidRDefault="00924BDA" w:rsidP="002E5AA8">
      <w:pPr>
        <w:jc w:val="both"/>
      </w:pPr>
    </w:p>
    <w:p w14:paraId="4FA9E4E8" w14:textId="7B728471" w:rsidR="00924BDA" w:rsidRPr="00C15E1F" w:rsidRDefault="00DC14B2" w:rsidP="001565D9">
      <w:pPr>
        <w:jc w:val="center"/>
        <w:rPr>
          <w:b/>
          <w:lang w:val="en-US"/>
        </w:rPr>
      </w:pPr>
      <w:r w:rsidRPr="00C15E1F">
        <w:rPr>
          <w:b/>
          <w:lang w:val="en-US"/>
        </w:rPr>
        <w:t>ABSTRACT</w:t>
      </w:r>
    </w:p>
    <w:p w14:paraId="637B5A66" w14:textId="1D130165" w:rsidR="00CF59BD" w:rsidRPr="00C15E1F" w:rsidRDefault="00924BDA" w:rsidP="00E82B88">
      <w:pPr>
        <w:jc w:val="both"/>
        <w:rPr>
          <w:lang w:val="en-US"/>
        </w:rPr>
      </w:pPr>
      <w:r w:rsidRPr="00C15E1F">
        <w:rPr>
          <w:lang w:val="en-US"/>
        </w:rPr>
        <w:t xml:space="preserve">This article aimed to analyze </w:t>
      </w:r>
      <w:r w:rsidR="00CF59BD" w:rsidRPr="00C15E1F">
        <w:rPr>
          <w:lang w:val="en-US"/>
        </w:rPr>
        <w:t>the approp</w:t>
      </w:r>
      <w:r w:rsidRPr="00C15E1F">
        <w:rPr>
          <w:lang w:val="en-US"/>
        </w:rPr>
        <w:t>r</w:t>
      </w:r>
      <w:r w:rsidR="00CF59BD" w:rsidRPr="00C15E1F">
        <w:rPr>
          <w:lang w:val="en-US"/>
        </w:rPr>
        <w:t xml:space="preserve">iate procedural moment for establishing </w:t>
      </w:r>
      <w:r w:rsidR="0090754F" w:rsidRPr="00C15E1F">
        <w:rPr>
          <w:lang w:val="en-US"/>
        </w:rPr>
        <w:t xml:space="preserve">compensatory alimony </w:t>
      </w:r>
      <w:r w:rsidR="00E82B88" w:rsidRPr="00C15E1F">
        <w:rPr>
          <w:lang w:val="en-US"/>
        </w:rPr>
        <w:t xml:space="preserve">within </w:t>
      </w:r>
      <w:r w:rsidR="00CF59BD" w:rsidRPr="00C15E1F">
        <w:rPr>
          <w:lang w:val="en-US"/>
        </w:rPr>
        <w:t>the current B</w:t>
      </w:r>
      <w:r w:rsidR="00E82B88" w:rsidRPr="00C15E1F">
        <w:rPr>
          <w:lang w:val="en-US"/>
        </w:rPr>
        <w:t>razilian system of law</w:t>
      </w:r>
      <w:r w:rsidR="00CF59BD" w:rsidRPr="00C15E1F">
        <w:rPr>
          <w:lang w:val="en-US"/>
        </w:rPr>
        <w:t>, cons</w:t>
      </w:r>
      <w:r w:rsidR="00E82B88" w:rsidRPr="00C15E1F">
        <w:rPr>
          <w:lang w:val="en-US"/>
        </w:rPr>
        <w:t xml:space="preserve">idering cases of economic imbalance affecting women due to divorce. The study is based on doctrines of Brazilian Civil Law and Family Law, as well </w:t>
      </w:r>
      <w:r w:rsidRPr="00C15E1F">
        <w:rPr>
          <w:lang w:val="en-US"/>
        </w:rPr>
        <w:t xml:space="preserve">as </w:t>
      </w:r>
      <w:r w:rsidR="00E82B88" w:rsidRPr="00C15E1F">
        <w:rPr>
          <w:lang w:val="en-US"/>
        </w:rPr>
        <w:t>an analysis of the Gender Perspective Judgment Protocol of the National Council of Justice (CNJ in Portuguese). The research aims to reflect on the practical applicability of this Protocol, which was created as a public policy measure to combat gender inequality. The effective implementation of the Protocol is necessary to promote women's empowerment and the fight for women's rights.</w:t>
      </w:r>
    </w:p>
    <w:p w14:paraId="2C6CFDF2" w14:textId="77777777" w:rsidR="00DC14B2" w:rsidRPr="00C15E1F" w:rsidRDefault="00DC14B2" w:rsidP="00DC14B2">
      <w:pPr>
        <w:jc w:val="center"/>
        <w:rPr>
          <w:b/>
          <w:lang w:val="en-US"/>
        </w:rPr>
      </w:pPr>
    </w:p>
    <w:p w14:paraId="42E605D3" w14:textId="1F94FC9F" w:rsidR="00924E63" w:rsidRPr="00924BDA" w:rsidRDefault="00DC14B2" w:rsidP="00DC14B2">
      <w:pPr>
        <w:jc w:val="both"/>
      </w:pPr>
      <w:r w:rsidRPr="00C15E1F">
        <w:rPr>
          <w:b/>
          <w:lang w:val="en-US"/>
        </w:rPr>
        <w:t xml:space="preserve">Keywords: </w:t>
      </w:r>
      <w:r w:rsidR="0045695A" w:rsidRPr="00C15E1F">
        <w:rPr>
          <w:lang w:val="en-US"/>
        </w:rPr>
        <w:t>Compensatory A</w:t>
      </w:r>
      <w:r w:rsidR="0090754F" w:rsidRPr="00C15E1F">
        <w:rPr>
          <w:lang w:val="en-US"/>
        </w:rPr>
        <w:t>limony</w:t>
      </w:r>
      <w:r w:rsidR="0045695A" w:rsidRPr="00C15E1F">
        <w:rPr>
          <w:lang w:val="en-US"/>
        </w:rPr>
        <w:t xml:space="preserve">. Civil Law. </w:t>
      </w:r>
      <w:r w:rsidR="0045695A">
        <w:t>Family L</w:t>
      </w:r>
      <w:r w:rsidR="00C74B6A">
        <w:t>aw.</w:t>
      </w:r>
      <w:r w:rsidR="0045695A">
        <w:t xml:space="preserve"> </w:t>
      </w:r>
      <w:proofErr w:type="spellStart"/>
      <w:r w:rsidR="0045695A">
        <w:t>Women’s</w:t>
      </w:r>
      <w:proofErr w:type="spellEnd"/>
      <w:r w:rsidR="0045695A">
        <w:t xml:space="preserve"> </w:t>
      </w:r>
      <w:proofErr w:type="spellStart"/>
      <w:r w:rsidR="0045695A">
        <w:t>Rights</w:t>
      </w:r>
      <w:proofErr w:type="spellEnd"/>
      <w:r w:rsidR="0045695A">
        <w:t>.</w:t>
      </w:r>
      <w:r>
        <w:t xml:space="preserve"> </w:t>
      </w:r>
    </w:p>
    <w:p w14:paraId="16538371" w14:textId="77777777" w:rsidR="00924E63" w:rsidRDefault="00924E63" w:rsidP="00DC14B2">
      <w:pPr>
        <w:jc w:val="both"/>
        <w:sectPr w:rsidR="00924E63" w:rsidSect="00320365">
          <w:pgSz w:w="11909" w:h="16834"/>
          <w:pgMar w:top="1701" w:right="1134" w:bottom="1134" w:left="1701" w:header="720" w:footer="720" w:gutter="0"/>
          <w:pgNumType w:start="1"/>
          <w:cols w:space="720"/>
          <w:titlePg/>
          <w:docGrid w:linePitch="299"/>
        </w:sectPr>
      </w:pPr>
    </w:p>
    <w:p w14:paraId="4A1E2A21" w14:textId="29C21838" w:rsidR="00AF05BE" w:rsidRPr="00DC14B2" w:rsidRDefault="00AF05BE" w:rsidP="00DC14B2">
      <w:pPr>
        <w:jc w:val="both"/>
      </w:pPr>
    </w:p>
    <w:p w14:paraId="603A1DE9" w14:textId="77777777" w:rsidR="003548AF" w:rsidRDefault="003548AF" w:rsidP="003548AF"/>
    <w:p w14:paraId="4290D667" w14:textId="06BB0CD9" w:rsidR="00E56DB6" w:rsidRPr="004F6096" w:rsidRDefault="00311307" w:rsidP="004F6096">
      <w:pPr>
        <w:numPr>
          <w:ilvl w:val="0"/>
          <w:numId w:val="1"/>
        </w:numPr>
        <w:spacing w:line="360" w:lineRule="auto"/>
        <w:rPr>
          <w:rFonts w:eastAsia="Times New Roman"/>
          <w:b/>
        </w:rPr>
      </w:pPr>
      <w:bookmarkStart w:id="1" w:name="_Ref183541085"/>
      <w:r>
        <w:rPr>
          <w:rFonts w:eastAsia="Times New Roman"/>
          <w:b/>
        </w:rPr>
        <w:t>INTRODUÇÃO</w:t>
      </w:r>
      <w:bookmarkEnd w:id="1"/>
    </w:p>
    <w:p w14:paraId="00000009" w14:textId="73DEB9F5" w:rsidR="001C1913" w:rsidRDefault="00921B81" w:rsidP="006E641C">
      <w:pPr>
        <w:pBdr>
          <w:top w:val="nil"/>
          <w:left w:val="nil"/>
          <w:bottom w:val="nil"/>
          <w:right w:val="nil"/>
          <w:between w:val="nil"/>
        </w:pBdr>
        <w:spacing w:line="360" w:lineRule="auto"/>
        <w:ind w:firstLine="720"/>
        <w:jc w:val="both"/>
        <w:rPr>
          <w:rFonts w:eastAsia="Times New Roman"/>
        </w:rPr>
      </w:pPr>
      <w:r>
        <w:rPr>
          <w:rFonts w:eastAsia="Times New Roman"/>
        </w:rPr>
        <w:t>Em um contexto em que</w:t>
      </w:r>
      <w:r w:rsidR="00311307">
        <w:rPr>
          <w:rFonts w:eastAsia="Times New Roman"/>
        </w:rPr>
        <w:t xml:space="preserve"> os processos de div</w:t>
      </w:r>
      <w:r w:rsidR="00761128">
        <w:rPr>
          <w:rFonts w:eastAsia="Times New Roman"/>
        </w:rPr>
        <w:t>ó</w:t>
      </w:r>
      <w:r w:rsidR="00311307">
        <w:rPr>
          <w:rFonts w:eastAsia="Times New Roman"/>
        </w:rPr>
        <w:t xml:space="preserve">rcio têm crescido drasticamente e o julgamento destes tem sido regado de discriminações e desigualdade de gênero, se faz de extrema importância analisar o instituto dos alimentos compensatórios. </w:t>
      </w:r>
    </w:p>
    <w:p w14:paraId="0000000A" w14:textId="4F5569FF" w:rsidR="001C1913" w:rsidRDefault="00311307" w:rsidP="00C4080F">
      <w:pPr>
        <w:pBdr>
          <w:top w:val="nil"/>
          <w:left w:val="nil"/>
          <w:bottom w:val="nil"/>
          <w:right w:val="nil"/>
          <w:between w:val="nil"/>
        </w:pBdr>
        <w:spacing w:line="360" w:lineRule="auto"/>
        <w:jc w:val="both"/>
        <w:rPr>
          <w:rFonts w:eastAsia="Times New Roman"/>
        </w:rPr>
      </w:pPr>
      <w:r>
        <w:rPr>
          <w:rFonts w:eastAsia="Times New Roman"/>
        </w:rPr>
        <w:tab/>
        <w:t>Este instituto é um conceito doutrinário introduzido no Bra</w:t>
      </w:r>
      <w:r w:rsidR="00E52A48">
        <w:rPr>
          <w:rFonts w:eastAsia="Times New Roman"/>
        </w:rPr>
        <w:t>sil por</w:t>
      </w:r>
      <w:r w:rsidR="009C136C">
        <w:rPr>
          <w:rFonts w:eastAsia="Times New Roman"/>
        </w:rPr>
        <w:t xml:space="preserve"> Rolf </w:t>
      </w:r>
      <w:r w:rsidR="00E52A48">
        <w:rPr>
          <w:rFonts w:eastAsia="Times New Roman"/>
        </w:rPr>
        <w:t>Madaleno</w:t>
      </w:r>
      <w:r w:rsidR="00D11CE2">
        <w:rPr>
          <w:rFonts w:eastAsia="Times New Roman"/>
        </w:rPr>
        <w:t xml:space="preserve"> (</w:t>
      </w:r>
      <w:r w:rsidR="00B2620A">
        <w:rPr>
          <w:rFonts w:eastAsia="Times New Roman"/>
        </w:rPr>
        <w:t>2018, 2022</w:t>
      </w:r>
      <w:r w:rsidR="00D11CE2">
        <w:rPr>
          <w:rFonts w:eastAsia="Times New Roman"/>
        </w:rPr>
        <w:t>, 2024)</w:t>
      </w:r>
      <w:r w:rsidR="00E52A48">
        <w:rPr>
          <w:rFonts w:eastAsia="Times New Roman"/>
        </w:rPr>
        <w:t xml:space="preserve">, tendo como objetivo </w:t>
      </w:r>
      <w:r w:rsidR="00981E16">
        <w:rPr>
          <w:rFonts w:eastAsia="Times New Roman"/>
        </w:rPr>
        <w:t xml:space="preserve">a </w:t>
      </w:r>
      <w:r>
        <w:rPr>
          <w:rFonts w:eastAsia="Times New Roman"/>
        </w:rPr>
        <w:t>compensação econômica en</w:t>
      </w:r>
      <w:r w:rsidR="00E52A48">
        <w:rPr>
          <w:rFonts w:eastAsia="Times New Roman"/>
        </w:rPr>
        <w:t xml:space="preserve">tre </w:t>
      </w:r>
      <w:r w:rsidR="00981E16">
        <w:rPr>
          <w:rFonts w:eastAsia="Times New Roman"/>
        </w:rPr>
        <w:t xml:space="preserve">os </w:t>
      </w:r>
      <w:r w:rsidR="00E52A48">
        <w:rPr>
          <w:rFonts w:eastAsia="Times New Roman"/>
        </w:rPr>
        <w:t xml:space="preserve">cônjuges por meio de </w:t>
      </w:r>
      <w:r>
        <w:rPr>
          <w:rFonts w:eastAsia="Times New Roman"/>
        </w:rPr>
        <w:t xml:space="preserve">indenização, frente ao desequilíbrio financeiro que surge com a separação do casal. </w:t>
      </w:r>
    </w:p>
    <w:p w14:paraId="0000000B" w14:textId="7A5BD5C4" w:rsidR="001C1913" w:rsidRDefault="00981E16" w:rsidP="00C4080F">
      <w:pPr>
        <w:pBdr>
          <w:top w:val="nil"/>
          <w:left w:val="nil"/>
          <w:bottom w:val="nil"/>
          <w:right w:val="nil"/>
          <w:between w:val="nil"/>
        </w:pBdr>
        <w:spacing w:line="360" w:lineRule="auto"/>
        <w:jc w:val="both"/>
        <w:rPr>
          <w:rFonts w:eastAsia="Times New Roman"/>
        </w:rPr>
      </w:pPr>
      <w:r>
        <w:rPr>
          <w:rFonts w:eastAsia="Times New Roman"/>
        </w:rPr>
        <w:tab/>
        <w:t xml:space="preserve">Por perceber que, </w:t>
      </w:r>
      <w:r w:rsidR="00311307">
        <w:rPr>
          <w:rFonts w:eastAsia="Times New Roman"/>
        </w:rPr>
        <w:t>na maioria dos casos, é a mulher que sai em desvantagem financeira, este</w:t>
      </w:r>
      <w:r w:rsidR="007F63D2">
        <w:rPr>
          <w:rFonts w:eastAsia="Times New Roman"/>
        </w:rPr>
        <w:t xml:space="preserve"> trabalho se propõe a analisar </w:t>
      </w:r>
      <w:r w:rsidR="00311307">
        <w:rPr>
          <w:rFonts w:eastAsia="Times New Roman"/>
        </w:rPr>
        <w:t>os alimentos compensatórios sob a ótica da Perspectiva de Gênero, tendo como norteador o Protocolo de Julgame</w:t>
      </w:r>
      <w:r w:rsidR="00AF0271">
        <w:rPr>
          <w:rFonts w:eastAsia="Times New Roman"/>
        </w:rPr>
        <w:t xml:space="preserve">nto com Perspectiva de Gênero (CONSELHO NACIONAL DE JUSTIÇA, 2021), um </w:t>
      </w:r>
      <w:r w:rsidR="00311307">
        <w:rPr>
          <w:rFonts w:eastAsia="Times New Roman"/>
        </w:rPr>
        <w:t>documento desenvolvido para orient</w:t>
      </w:r>
      <w:r w:rsidR="007F63D2">
        <w:rPr>
          <w:rFonts w:eastAsia="Times New Roman"/>
        </w:rPr>
        <w:t>ar os operadores do Direito</w:t>
      </w:r>
      <w:r w:rsidR="00311307">
        <w:rPr>
          <w:rFonts w:eastAsia="Times New Roman"/>
        </w:rPr>
        <w:t xml:space="preserve"> a dirigir sua </w:t>
      </w:r>
      <w:r w:rsidR="007F63D2">
        <w:rPr>
          <w:rFonts w:eastAsia="Times New Roman"/>
        </w:rPr>
        <w:t xml:space="preserve">atuação de modo a combater essa </w:t>
      </w:r>
      <w:r w:rsidR="00311307">
        <w:rPr>
          <w:rFonts w:eastAsia="Times New Roman"/>
        </w:rPr>
        <w:t xml:space="preserve">desigualdade. </w:t>
      </w:r>
    </w:p>
    <w:p w14:paraId="0000000C" w14:textId="3D61583F" w:rsidR="001C1913" w:rsidRDefault="00311307" w:rsidP="00C4080F">
      <w:pPr>
        <w:pBdr>
          <w:top w:val="nil"/>
          <w:left w:val="nil"/>
          <w:bottom w:val="nil"/>
          <w:right w:val="nil"/>
          <w:between w:val="nil"/>
        </w:pBdr>
        <w:spacing w:line="360" w:lineRule="auto"/>
        <w:jc w:val="both"/>
        <w:rPr>
          <w:rFonts w:eastAsia="Times New Roman"/>
        </w:rPr>
      </w:pPr>
      <w:r>
        <w:rPr>
          <w:rFonts w:eastAsia="Times New Roman"/>
        </w:rPr>
        <w:tab/>
        <w:t xml:space="preserve">Levando em consideração o objetivo dos alimentos compensatórios e a morosidade do julgamento dos processos de divórcio, em razão da superlotação do sistema e da massa de assuntos que </w:t>
      </w:r>
      <w:r w:rsidR="007F63D2">
        <w:rPr>
          <w:rFonts w:eastAsia="Times New Roman"/>
        </w:rPr>
        <w:t>normalmente são discutidos nesse</w:t>
      </w:r>
      <w:r>
        <w:rPr>
          <w:rFonts w:eastAsia="Times New Roman"/>
        </w:rPr>
        <w:t xml:space="preserve"> tipo de processo</w:t>
      </w:r>
      <w:r w:rsidR="00761128">
        <w:rPr>
          <w:rFonts w:eastAsia="Times New Roman"/>
        </w:rPr>
        <w:t>,</w:t>
      </w:r>
      <w:r>
        <w:rPr>
          <w:rFonts w:eastAsia="Times New Roman"/>
        </w:rPr>
        <w:t xml:space="preserve"> que muitas vezes também discutem os direitos da prole, surge a discussão sobre qual é o momento processual</w:t>
      </w:r>
      <w:r w:rsidR="00E86BBE">
        <w:rPr>
          <w:rFonts w:eastAsia="Times New Roman"/>
        </w:rPr>
        <w:t xml:space="preserve"> adequado para a concessão desse</w:t>
      </w:r>
      <w:r>
        <w:rPr>
          <w:rFonts w:eastAsia="Times New Roman"/>
        </w:rPr>
        <w:t xml:space="preserve"> instituto. </w:t>
      </w:r>
    </w:p>
    <w:p w14:paraId="0000000D" w14:textId="7CB8DA1A" w:rsidR="001C1913" w:rsidRDefault="00560BC0" w:rsidP="00C4080F">
      <w:pPr>
        <w:pBdr>
          <w:top w:val="nil"/>
          <w:left w:val="nil"/>
          <w:bottom w:val="nil"/>
          <w:right w:val="nil"/>
          <w:between w:val="nil"/>
        </w:pBdr>
        <w:spacing w:line="360" w:lineRule="auto"/>
        <w:jc w:val="both"/>
        <w:rPr>
          <w:rFonts w:eastAsia="Times New Roman"/>
        </w:rPr>
      </w:pPr>
      <w:r>
        <w:rPr>
          <w:rFonts w:eastAsia="Times New Roman"/>
        </w:rPr>
        <w:tab/>
        <w:t>Nesse</w:t>
      </w:r>
      <w:r w:rsidR="00311307">
        <w:rPr>
          <w:rFonts w:eastAsia="Times New Roman"/>
        </w:rPr>
        <w:t xml:space="preserve"> sentido, o objetivo geral deste trabalho será identificar em qual momento processual devem ser fixados os alimentos compensatórios nos casos de desequilíbrio econômico em relação às mulheres em decorrência do divórcio. </w:t>
      </w:r>
    </w:p>
    <w:p w14:paraId="0000000E" w14:textId="6FE8D4EE" w:rsidR="001C1913" w:rsidRDefault="00311307" w:rsidP="00C4080F">
      <w:pPr>
        <w:pBdr>
          <w:top w:val="nil"/>
          <w:left w:val="nil"/>
          <w:bottom w:val="nil"/>
          <w:right w:val="nil"/>
          <w:between w:val="nil"/>
        </w:pBdr>
        <w:spacing w:line="360" w:lineRule="auto"/>
        <w:jc w:val="both"/>
        <w:rPr>
          <w:rFonts w:eastAsia="Times New Roman"/>
        </w:rPr>
      </w:pPr>
      <w:r>
        <w:rPr>
          <w:rFonts w:eastAsia="Times New Roman"/>
        </w:rPr>
        <w:tab/>
        <w:t>Ademais, terá como objetivo</w:t>
      </w:r>
      <w:r w:rsidR="00884C7E">
        <w:rPr>
          <w:rFonts w:eastAsia="Times New Roman"/>
        </w:rPr>
        <w:t xml:space="preserve">s específicos </w:t>
      </w:r>
      <w:r w:rsidR="00800975">
        <w:rPr>
          <w:rFonts w:eastAsia="Times New Roman"/>
        </w:rPr>
        <w:t xml:space="preserve">(i) </w:t>
      </w:r>
      <w:r w:rsidR="00884C7E">
        <w:rPr>
          <w:rFonts w:eastAsia="Times New Roman"/>
        </w:rPr>
        <w:t xml:space="preserve">estudar o que são </w:t>
      </w:r>
      <w:r>
        <w:rPr>
          <w:rFonts w:eastAsia="Times New Roman"/>
        </w:rPr>
        <w:t>os alimentos compensató</w:t>
      </w:r>
      <w:r w:rsidR="003506CB">
        <w:rPr>
          <w:rFonts w:eastAsia="Times New Roman"/>
        </w:rPr>
        <w:t>rios com base nas doutrinas de Direito Civil e Direito de F</w:t>
      </w:r>
      <w:r>
        <w:rPr>
          <w:rFonts w:eastAsia="Times New Roman"/>
        </w:rPr>
        <w:t xml:space="preserve">amília; </w:t>
      </w:r>
      <w:r w:rsidR="00800975">
        <w:rPr>
          <w:rFonts w:eastAsia="Times New Roman"/>
        </w:rPr>
        <w:t>(</w:t>
      </w:r>
      <w:proofErr w:type="spellStart"/>
      <w:r w:rsidR="00800975">
        <w:rPr>
          <w:rFonts w:eastAsia="Times New Roman"/>
        </w:rPr>
        <w:t>ii</w:t>
      </w:r>
      <w:proofErr w:type="spellEnd"/>
      <w:r w:rsidR="00800975">
        <w:rPr>
          <w:rFonts w:eastAsia="Times New Roman"/>
        </w:rPr>
        <w:t xml:space="preserve">) </w:t>
      </w:r>
      <w:r>
        <w:rPr>
          <w:rFonts w:eastAsia="Times New Roman"/>
        </w:rPr>
        <w:t>analisar o Protocolo de Julgamento c</w:t>
      </w:r>
      <w:r w:rsidR="00365D87">
        <w:rPr>
          <w:rFonts w:eastAsia="Times New Roman"/>
        </w:rPr>
        <w:t xml:space="preserve">om Perspectiva de Gênero do Conselho Nacional de Justiça (CNJ) </w:t>
      </w:r>
      <w:r>
        <w:rPr>
          <w:rFonts w:eastAsia="Times New Roman"/>
        </w:rPr>
        <w:t>e su</w:t>
      </w:r>
      <w:r w:rsidR="003506CB">
        <w:rPr>
          <w:rFonts w:eastAsia="Times New Roman"/>
        </w:rPr>
        <w:t>a aplicab</w:t>
      </w:r>
      <w:r w:rsidR="00800975">
        <w:rPr>
          <w:rFonts w:eastAsia="Times New Roman"/>
        </w:rPr>
        <w:t>ilidade no Direito de Família; (</w:t>
      </w:r>
      <w:proofErr w:type="spellStart"/>
      <w:r w:rsidR="00800975">
        <w:rPr>
          <w:rFonts w:eastAsia="Times New Roman"/>
        </w:rPr>
        <w:t>iii</w:t>
      </w:r>
      <w:proofErr w:type="spellEnd"/>
      <w:r w:rsidR="00800975">
        <w:rPr>
          <w:rFonts w:eastAsia="Times New Roman"/>
        </w:rPr>
        <w:t xml:space="preserve">) </w:t>
      </w:r>
      <w:r>
        <w:rPr>
          <w:rFonts w:eastAsia="Times New Roman"/>
        </w:rPr>
        <w:t>correlacionar os tipos de tutela antecipada e</w:t>
      </w:r>
      <w:r w:rsidR="003506CB">
        <w:rPr>
          <w:rFonts w:eastAsia="Times New Roman"/>
        </w:rPr>
        <w:t>xistentes no Direito Civil brasileiro com a</w:t>
      </w:r>
      <w:r>
        <w:rPr>
          <w:rFonts w:eastAsia="Times New Roman"/>
        </w:rPr>
        <w:t xml:space="preserve"> possibilidade de fixação dos alimentos compensatórios como tutela antecipada.</w:t>
      </w:r>
    </w:p>
    <w:p w14:paraId="0000000F" w14:textId="36DB05CA" w:rsidR="001C1913" w:rsidRDefault="00311307" w:rsidP="00C4080F">
      <w:pPr>
        <w:pBdr>
          <w:top w:val="nil"/>
          <w:left w:val="nil"/>
          <w:bottom w:val="nil"/>
          <w:right w:val="nil"/>
          <w:between w:val="nil"/>
        </w:pBdr>
        <w:spacing w:line="360" w:lineRule="auto"/>
        <w:jc w:val="both"/>
        <w:rPr>
          <w:rFonts w:eastAsia="Times New Roman"/>
        </w:rPr>
      </w:pPr>
      <w:r>
        <w:rPr>
          <w:rFonts w:eastAsia="Times New Roman"/>
        </w:rPr>
        <w:tab/>
        <w:t>A metodologia uti</w:t>
      </w:r>
      <w:r w:rsidR="007933A1">
        <w:rPr>
          <w:rFonts w:eastAsia="Times New Roman"/>
        </w:rPr>
        <w:t xml:space="preserve">lizada é a pesquisa qualitativa, </w:t>
      </w:r>
      <w:r>
        <w:rPr>
          <w:rFonts w:eastAsia="Times New Roman"/>
        </w:rPr>
        <w:t xml:space="preserve">que se dará por meio da análise bibliográfica das doutrinas relevantes sobre o tema escolhido. </w:t>
      </w:r>
    </w:p>
    <w:p w14:paraId="00000010" w14:textId="3E1F185A" w:rsidR="001C1913" w:rsidRDefault="00311307" w:rsidP="00C4080F">
      <w:pPr>
        <w:pBdr>
          <w:top w:val="nil"/>
          <w:left w:val="nil"/>
          <w:bottom w:val="nil"/>
          <w:right w:val="nil"/>
          <w:between w:val="nil"/>
        </w:pBdr>
        <w:spacing w:line="360" w:lineRule="auto"/>
        <w:ind w:firstLine="720"/>
        <w:jc w:val="both"/>
        <w:rPr>
          <w:rFonts w:eastAsia="Times New Roman"/>
        </w:rPr>
      </w:pPr>
      <w:r>
        <w:rPr>
          <w:rFonts w:eastAsia="Times New Roman"/>
        </w:rPr>
        <w:t xml:space="preserve">Além disso, também será realizada a pesquisa quantitativa por meio da análise de casos julgados sobre o tema, a fim de analisar o momento no qual este instituto é concedido </w:t>
      </w:r>
      <w:r w:rsidR="003506CB">
        <w:rPr>
          <w:rFonts w:eastAsia="Times New Roman"/>
        </w:rPr>
        <w:t xml:space="preserve">nos Tribunais de Minas Gerais </w:t>
      </w:r>
      <w:r>
        <w:rPr>
          <w:rFonts w:eastAsia="Times New Roman"/>
        </w:rPr>
        <w:t>em comparação às jurisprudências do banco de jurisp</w:t>
      </w:r>
      <w:r w:rsidR="003506CB">
        <w:rPr>
          <w:rFonts w:eastAsia="Times New Roman"/>
        </w:rPr>
        <w:t>rudências do P</w:t>
      </w:r>
      <w:r w:rsidR="00896C74">
        <w:rPr>
          <w:rFonts w:eastAsia="Times New Roman"/>
        </w:rPr>
        <w:t>rotocolo.</w:t>
      </w:r>
      <w:r>
        <w:rPr>
          <w:rFonts w:eastAsia="Times New Roman"/>
        </w:rPr>
        <w:t xml:space="preserve"> </w:t>
      </w:r>
    </w:p>
    <w:p w14:paraId="00000011" w14:textId="56ED7147" w:rsidR="001C1913" w:rsidRDefault="00311307" w:rsidP="00C4080F">
      <w:pPr>
        <w:pBdr>
          <w:top w:val="nil"/>
          <w:left w:val="nil"/>
          <w:bottom w:val="nil"/>
          <w:right w:val="nil"/>
          <w:between w:val="nil"/>
        </w:pBdr>
        <w:spacing w:line="360" w:lineRule="auto"/>
        <w:ind w:firstLine="720"/>
        <w:jc w:val="both"/>
        <w:rPr>
          <w:rFonts w:eastAsia="Times New Roman"/>
        </w:rPr>
      </w:pPr>
      <w:r>
        <w:rPr>
          <w:rFonts w:eastAsia="Times New Roman"/>
        </w:rPr>
        <w:lastRenderedPageBreak/>
        <w:t xml:space="preserve">O trabalho será dividido em cinco capítulos, sendo este primeiro dedicado às considerações iniciais da pesquisa, abordando a proposta do trabalho e delimitando o tema. O segundo capítulo abordará o conceito dos alimentos compensatórios </w:t>
      </w:r>
      <w:r w:rsidR="00323494">
        <w:rPr>
          <w:rFonts w:eastAsia="Times New Roman"/>
        </w:rPr>
        <w:t>por revisão bibliográfica, aprofundando</w:t>
      </w:r>
      <w:r>
        <w:rPr>
          <w:rFonts w:eastAsia="Times New Roman"/>
        </w:rPr>
        <w:t xml:space="preserve"> os conhecimentos necessários para o entendimento do trabalho. </w:t>
      </w:r>
    </w:p>
    <w:p w14:paraId="00000012" w14:textId="7CE6A8D1" w:rsidR="001C1913" w:rsidRDefault="00DF2213" w:rsidP="00C4080F">
      <w:pPr>
        <w:pBdr>
          <w:top w:val="nil"/>
          <w:left w:val="nil"/>
          <w:bottom w:val="nil"/>
          <w:right w:val="nil"/>
          <w:between w:val="nil"/>
        </w:pBdr>
        <w:spacing w:line="360" w:lineRule="auto"/>
        <w:ind w:firstLine="720"/>
        <w:jc w:val="both"/>
        <w:rPr>
          <w:rFonts w:eastAsia="Times New Roman"/>
        </w:rPr>
      </w:pPr>
      <w:r>
        <w:rPr>
          <w:rFonts w:eastAsia="Times New Roman"/>
        </w:rPr>
        <w:t xml:space="preserve">O terceiro capítulo se aprofundará na análise do </w:t>
      </w:r>
      <w:r w:rsidR="00311307">
        <w:rPr>
          <w:rFonts w:eastAsia="Times New Roman"/>
        </w:rPr>
        <w:t>Protocolo de Julgamento com Perspectiva de Gênero do CNJ e suas disposições sobre o tema pri</w:t>
      </w:r>
      <w:r w:rsidR="007933A1">
        <w:rPr>
          <w:rFonts w:eastAsia="Times New Roman"/>
        </w:rPr>
        <w:t>ncipal da pesquisa. No quarto capítulo</w:t>
      </w:r>
      <w:r w:rsidR="00311307">
        <w:rPr>
          <w:rFonts w:eastAsia="Times New Roman"/>
        </w:rPr>
        <w:t xml:space="preserve">, serão analisadas as fases decisórias no processo civil, no qual se dará a discussão precípua. </w:t>
      </w:r>
    </w:p>
    <w:p w14:paraId="00000013" w14:textId="5C0143B3" w:rsidR="001C1913" w:rsidRDefault="007933A1" w:rsidP="00C4080F">
      <w:pPr>
        <w:pBdr>
          <w:top w:val="nil"/>
          <w:left w:val="nil"/>
          <w:bottom w:val="nil"/>
          <w:right w:val="nil"/>
          <w:between w:val="nil"/>
        </w:pBdr>
        <w:spacing w:line="360" w:lineRule="auto"/>
        <w:ind w:firstLine="720"/>
        <w:jc w:val="both"/>
        <w:rPr>
          <w:rFonts w:eastAsia="Times New Roman"/>
        </w:rPr>
      </w:pPr>
      <w:r>
        <w:rPr>
          <w:rFonts w:eastAsia="Times New Roman"/>
        </w:rPr>
        <w:t xml:space="preserve">Por fim, o quinto capítulo </w:t>
      </w:r>
      <w:r w:rsidR="00311307">
        <w:rPr>
          <w:rFonts w:eastAsia="Times New Roman"/>
        </w:rPr>
        <w:t>será dedicado às considerações finais e à conclusão da pesquisa, no qual se</w:t>
      </w:r>
      <w:r w:rsidR="00DF2213">
        <w:rPr>
          <w:rFonts w:eastAsia="Times New Roman"/>
        </w:rPr>
        <w:t>rá apresentado o resultado desse</w:t>
      </w:r>
      <w:r w:rsidR="00311307">
        <w:rPr>
          <w:rFonts w:eastAsia="Times New Roman"/>
        </w:rPr>
        <w:t xml:space="preserve"> tra</w:t>
      </w:r>
      <w:r w:rsidR="00323494">
        <w:rPr>
          <w:rFonts w:eastAsia="Times New Roman"/>
        </w:rPr>
        <w:t>balho.</w:t>
      </w:r>
      <w:r w:rsidR="00311307">
        <w:rPr>
          <w:rFonts w:eastAsia="Times New Roman"/>
        </w:rPr>
        <w:t xml:space="preserve"> </w:t>
      </w:r>
    </w:p>
    <w:p w14:paraId="00000014" w14:textId="77777777" w:rsidR="001C1913" w:rsidRDefault="001C1913">
      <w:pPr>
        <w:rPr>
          <w:rFonts w:eastAsia="Times New Roman"/>
          <w:b/>
        </w:rPr>
      </w:pPr>
    </w:p>
    <w:p w14:paraId="054EC47B" w14:textId="49A8DEEC" w:rsidR="00800975" w:rsidRPr="004F6096" w:rsidRDefault="00311307" w:rsidP="006E641C">
      <w:pPr>
        <w:numPr>
          <w:ilvl w:val="0"/>
          <w:numId w:val="1"/>
        </w:numPr>
        <w:spacing w:line="360" w:lineRule="auto"/>
        <w:rPr>
          <w:rFonts w:eastAsia="Times New Roman"/>
          <w:b/>
        </w:rPr>
      </w:pPr>
      <w:r>
        <w:rPr>
          <w:rFonts w:eastAsia="Times New Roman"/>
          <w:b/>
        </w:rPr>
        <w:t>DOS ALIMENTOS COMPENSATÓRIOS</w:t>
      </w:r>
    </w:p>
    <w:p w14:paraId="00000017" w14:textId="0EC555E4" w:rsidR="001C1913" w:rsidRDefault="00311307" w:rsidP="006E641C">
      <w:pPr>
        <w:spacing w:line="360" w:lineRule="auto"/>
        <w:jc w:val="both"/>
        <w:rPr>
          <w:rFonts w:eastAsia="Times New Roman"/>
        </w:rPr>
      </w:pPr>
      <w:r>
        <w:rPr>
          <w:rFonts w:eastAsia="Times New Roman"/>
        </w:rPr>
        <w:tab/>
        <w:t>O casamento é um contrato celebrado entre cônjuges, cuja finalidade está definida no artigo 1.511 do Código Civil</w:t>
      </w:r>
      <w:r w:rsidR="006C4FB4">
        <w:rPr>
          <w:rFonts w:eastAsia="Times New Roman"/>
        </w:rPr>
        <w:t xml:space="preserve"> (BRASIL, 2002)</w:t>
      </w:r>
      <w:r>
        <w:rPr>
          <w:rFonts w:eastAsia="Times New Roman"/>
        </w:rPr>
        <w:t>, que se refere ao casamento consoante uma comunhão plena de vida, tendo como base a igualdade de direitos e deveres entre cônjuges.</w:t>
      </w:r>
    </w:p>
    <w:p w14:paraId="00000018" w14:textId="6783FA1D" w:rsidR="001C1913" w:rsidRDefault="00311307" w:rsidP="00C4080F">
      <w:pPr>
        <w:spacing w:after="240" w:line="360" w:lineRule="auto"/>
        <w:ind w:firstLine="700"/>
        <w:jc w:val="both"/>
        <w:rPr>
          <w:rFonts w:eastAsia="Times New Roman"/>
        </w:rPr>
      </w:pPr>
      <w:r>
        <w:rPr>
          <w:rFonts w:eastAsia="Times New Roman"/>
        </w:rPr>
        <w:t>Essa disposição, ocasiona grandes efeitos na vida dos cônjuges, principalmente no âmbito econômico com a soma das rendas e divisão das despesas domé</w:t>
      </w:r>
      <w:r w:rsidR="00684145">
        <w:rPr>
          <w:rFonts w:eastAsia="Times New Roman"/>
        </w:rPr>
        <w:t xml:space="preserve">sticas, tal como preceitua </w:t>
      </w:r>
      <w:r>
        <w:rPr>
          <w:rFonts w:eastAsia="Times New Roman"/>
        </w:rPr>
        <w:t>Madaleno</w:t>
      </w:r>
      <w:r w:rsidR="00003054">
        <w:rPr>
          <w:rFonts w:eastAsia="Times New Roman"/>
        </w:rPr>
        <w:t xml:space="preserve"> (</w:t>
      </w:r>
      <w:r w:rsidR="00FF0C7E">
        <w:rPr>
          <w:rFonts w:eastAsia="Times New Roman"/>
        </w:rPr>
        <w:t>2022</w:t>
      </w:r>
      <w:r w:rsidR="006C4FB4">
        <w:rPr>
          <w:rFonts w:eastAsia="Times New Roman"/>
        </w:rPr>
        <w:t>, p. 141):</w:t>
      </w:r>
      <w:r>
        <w:rPr>
          <w:rFonts w:eastAsia="Times New Roman"/>
        </w:rPr>
        <w:t xml:space="preserve">  </w:t>
      </w:r>
    </w:p>
    <w:p w14:paraId="00000019" w14:textId="231CA705" w:rsidR="001C1913" w:rsidRDefault="00311307" w:rsidP="00F84713">
      <w:pPr>
        <w:spacing w:before="240" w:after="240"/>
        <w:ind w:left="2260"/>
        <w:jc w:val="both"/>
        <w:rPr>
          <w:rFonts w:eastAsia="Times New Roman"/>
          <w:sz w:val="20"/>
          <w:szCs w:val="20"/>
        </w:rPr>
      </w:pPr>
      <w:r>
        <w:rPr>
          <w:rFonts w:eastAsia="Times New Roman"/>
          <w:sz w:val="20"/>
          <w:szCs w:val="20"/>
        </w:rPr>
        <w:t>O casamento cria para os cônjuges, como a união estável cria para os companheiros, deveres e direitos recíprocos, só dispensados com a separação de fato, a separação legal ou com o divórcio, que põe termo final ao casamento e, portanto, também aos deveres impostos aos cônjuges, cujas obrigações conjugais são substituídas pelos eventuais compromissos assumidos no acordo de separação ou de divórcio judicial ou extrajudicial 3.18. (Lei 11.441/2007 e CPC, art. 733), ou ordenadas em sentença proveniente de separ</w:t>
      </w:r>
      <w:r w:rsidR="00003054">
        <w:rPr>
          <w:rFonts w:eastAsia="Times New Roman"/>
          <w:sz w:val="20"/>
          <w:szCs w:val="20"/>
        </w:rPr>
        <w:t>aç</w:t>
      </w:r>
      <w:r w:rsidR="006C4FB4">
        <w:rPr>
          <w:rFonts w:eastAsia="Times New Roman"/>
          <w:sz w:val="20"/>
          <w:szCs w:val="20"/>
        </w:rPr>
        <w:t>ão ou de divórcio litigioso...</w:t>
      </w:r>
      <w:r w:rsidR="00CE5364">
        <w:rPr>
          <w:rFonts w:eastAsia="Times New Roman"/>
          <w:sz w:val="20"/>
          <w:szCs w:val="20"/>
        </w:rPr>
        <w:t xml:space="preserve"> </w:t>
      </w:r>
    </w:p>
    <w:p w14:paraId="04CEE36B" w14:textId="77777777" w:rsidR="00456817" w:rsidRDefault="00311307" w:rsidP="00456817">
      <w:pPr>
        <w:spacing w:line="360" w:lineRule="auto"/>
        <w:ind w:firstLine="700"/>
        <w:jc w:val="both"/>
        <w:rPr>
          <w:rFonts w:eastAsia="Times New Roman"/>
        </w:rPr>
      </w:pPr>
      <w:r>
        <w:rPr>
          <w:rFonts w:eastAsia="Times New Roman"/>
        </w:rPr>
        <w:t>De igual modo, acontece o divórcio, no qual, por vezes, desencadeia uma ruptura econômico-financeira entre o casal. Isso pois, em razão da sociedade patriarcal em que estamos inseridos, a mulher assume o papel de cuidadora do lar, enquanto o homem é o provedor da casa.</w:t>
      </w:r>
    </w:p>
    <w:p w14:paraId="10960906" w14:textId="70BD437F" w:rsidR="00D328AA" w:rsidRDefault="00311307" w:rsidP="00C7705B">
      <w:pPr>
        <w:spacing w:line="360" w:lineRule="auto"/>
        <w:ind w:firstLine="700"/>
        <w:jc w:val="both"/>
        <w:rPr>
          <w:rFonts w:eastAsia="Times New Roman"/>
        </w:rPr>
      </w:pPr>
      <w:r>
        <w:rPr>
          <w:rFonts w:eastAsia="Times New Roman"/>
        </w:rPr>
        <w:t xml:space="preserve">Comumente as mulheres ficam </w:t>
      </w:r>
      <w:r w:rsidR="00896C74">
        <w:rPr>
          <w:rFonts w:eastAsia="Times New Roman"/>
        </w:rPr>
        <w:t xml:space="preserve">encarregadas de cuidar </w:t>
      </w:r>
      <w:r>
        <w:rPr>
          <w:rFonts w:eastAsia="Times New Roman"/>
        </w:rPr>
        <w:t>dos fi</w:t>
      </w:r>
      <w:r w:rsidR="00896C74">
        <w:rPr>
          <w:rFonts w:eastAsia="Times New Roman"/>
        </w:rPr>
        <w:t xml:space="preserve">lhos, </w:t>
      </w:r>
      <w:r>
        <w:rPr>
          <w:rFonts w:eastAsia="Times New Roman"/>
        </w:rPr>
        <w:t>do marido</w:t>
      </w:r>
      <w:r w:rsidR="00896C74">
        <w:rPr>
          <w:rFonts w:eastAsia="Times New Roman"/>
        </w:rPr>
        <w:t xml:space="preserve"> e da casa</w:t>
      </w:r>
      <w:r>
        <w:rPr>
          <w:rFonts w:eastAsia="Times New Roman"/>
        </w:rPr>
        <w:t xml:space="preserve">, o que faz parecer que o cuidado e as tarefas domésticas são atribuição de gênero, </w:t>
      </w:r>
      <w:r w:rsidR="00896C74">
        <w:rPr>
          <w:rFonts w:eastAsia="Times New Roman"/>
        </w:rPr>
        <w:t xml:space="preserve">acarretando </w:t>
      </w:r>
      <w:r>
        <w:rPr>
          <w:rFonts w:eastAsia="Times New Roman"/>
        </w:rPr>
        <w:t>que</w:t>
      </w:r>
      <w:r w:rsidR="00896C74">
        <w:rPr>
          <w:rFonts w:eastAsia="Times New Roman"/>
        </w:rPr>
        <w:t xml:space="preserve"> a mulher, na maioria dos casos, </w:t>
      </w:r>
      <w:r w:rsidR="00D328AA">
        <w:rPr>
          <w:rFonts w:eastAsia="Times New Roman"/>
        </w:rPr>
        <w:t xml:space="preserve">não </w:t>
      </w:r>
      <w:r>
        <w:rPr>
          <w:rFonts w:eastAsia="Times New Roman"/>
        </w:rPr>
        <w:t>se</w:t>
      </w:r>
      <w:r w:rsidR="00D328AA">
        <w:rPr>
          <w:rFonts w:eastAsia="Times New Roman"/>
        </w:rPr>
        <w:t xml:space="preserve"> dedique</w:t>
      </w:r>
      <w:r>
        <w:rPr>
          <w:rFonts w:eastAsia="Times New Roman"/>
        </w:rPr>
        <w:t xml:space="preserve"> ao trabalho</w:t>
      </w:r>
      <w:r w:rsidR="00D328AA">
        <w:rPr>
          <w:rFonts w:eastAsia="Times New Roman"/>
        </w:rPr>
        <w:t xml:space="preserve"> formal. </w:t>
      </w:r>
      <w:r>
        <w:rPr>
          <w:rFonts w:eastAsia="Times New Roman"/>
        </w:rPr>
        <w:t>Conforme as lições d</w:t>
      </w:r>
      <w:r w:rsidR="00684145">
        <w:rPr>
          <w:rFonts w:eastAsia="Times New Roman"/>
        </w:rPr>
        <w:t xml:space="preserve">e </w:t>
      </w:r>
      <w:r>
        <w:rPr>
          <w:rFonts w:eastAsia="Times New Roman"/>
        </w:rPr>
        <w:t>Madaleno</w:t>
      </w:r>
      <w:r w:rsidR="00BF1487">
        <w:rPr>
          <w:rFonts w:eastAsia="Times New Roman"/>
        </w:rPr>
        <w:t xml:space="preserve"> (2018</w:t>
      </w:r>
      <w:r w:rsidR="006C4FB4">
        <w:rPr>
          <w:rFonts w:eastAsia="Times New Roman"/>
        </w:rPr>
        <w:t xml:space="preserve">, p. </w:t>
      </w:r>
      <w:r w:rsidR="00FF0C7E">
        <w:rPr>
          <w:rFonts w:eastAsia="Times New Roman"/>
        </w:rPr>
        <w:t>2</w:t>
      </w:r>
      <w:r w:rsidR="006C4FB4">
        <w:rPr>
          <w:rFonts w:eastAsia="Times New Roman"/>
        </w:rPr>
        <w:t>53</w:t>
      </w:r>
      <w:r w:rsidR="00D328AA">
        <w:rPr>
          <w:rFonts w:eastAsia="Times New Roman"/>
        </w:rPr>
        <w:t>)</w:t>
      </w:r>
      <w:r>
        <w:rPr>
          <w:rFonts w:eastAsia="Times New Roman"/>
        </w:rPr>
        <w:t>:</w:t>
      </w:r>
    </w:p>
    <w:p w14:paraId="0000001D" w14:textId="2F135D5D" w:rsidR="001C1913" w:rsidRDefault="00311307" w:rsidP="00F84713">
      <w:pPr>
        <w:spacing w:before="240" w:after="240"/>
        <w:ind w:left="2260"/>
        <w:jc w:val="both"/>
        <w:rPr>
          <w:rFonts w:eastAsia="Times New Roman"/>
          <w:sz w:val="20"/>
          <w:szCs w:val="20"/>
        </w:rPr>
      </w:pPr>
      <w:r>
        <w:rPr>
          <w:rFonts w:eastAsia="Times New Roman"/>
          <w:sz w:val="20"/>
          <w:szCs w:val="20"/>
        </w:rPr>
        <w:t xml:space="preserve">O casamento válido inculca uma série de deveres comuns e recíprocos, muito por influência do cristianismo em seara matrimonial, e estabelece a igualdade entre os cônjuges, também em relação ao regime de bens e suas divisões isonômicas. Pelo artigo 233 do Código Civil de 1916, o marido era o chefe da sociedade conjugal, </w:t>
      </w:r>
      <w:r>
        <w:rPr>
          <w:rFonts w:eastAsia="Times New Roman"/>
          <w:sz w:val="20"/>
          <w:szCs w:val="20"/>
        </w:rPr>
        <w:lastRenderedPageBreak/>
        <w:t>função que exercia com a colaboração da esposa, no interesse comum do casal e dos filhos, competindo-lhe a representação legal da família, a administração dos bens comuns, exercendo também o direito de fixar o domicílio do grupo familiar, salvo recurso judicial da mulher quando a decisão d</w:t>
      </w:r>
      <w:r w:rsidR="00D328AA">
        <w:rPr>
          <w:rFonts w:eastAsia="Times New Roman"/>
          <w:sz w:val="20"/>
          <w:szCs w:val="20"/>
        </w:rPr>
        <w:t>o marido lhe fo</w:t>
      </w:r>
      <w:r w:rsidR="006C4FB4">
        <w:rPr>
          <w:rFonts w:eastAsia="Times New Roman"/>
          <w:sz w:val="20"/>
          <w:szCs w:val="20"/>
        </w:rPr>
        <w:t>sse prejudicial.</w:t>
      </w:r>
    </w:p>
    <w:p w14:paraId="0000001E" w14:textId="78330268" w:rsidR="001C1913" w:rsidRDefault="00311307" w:rsidP="00092C4E">
      <w:pPr>
        <w:spacing w:before="240" w:line="360" w:lineRule="auto"/>
        <w:ind w:firstLine="709"/>
        <w:jc w:val="both"/>
        <w:rPr>
          <w:rFonts w:eastAsia="Times New Roman"/>
        </w:rPr>
      </w:pPr>
      <w:r>
        <w:rPr>
          <w:rFonts w:eastAsia="Times New Roman"/>
        </w:rPr>
        <w:t>Esse cenário acaba por acarretar drásticos problemas à mulher que, por não se prestar à administração dos bens e ao financeiro da família, sofre com o desequilíbrio financeiro exacerbado quando da separação.</w:t>
      </w:r>
    </w:p>
    <w:p w14:paraId="0000001F" w14:textId="54A1B3D9" w:rsidR="001C1913" w:rsidRDefault="00311307" w:rsidP="00456817">
      <w:pPr>
        <w:spacing w:after="240" w:line="360" w:lineRule="auto"/>
        <w:ind w:firstLine="700"/>
        <w:jc w:val="both"/>
        <w:rPr>
          <w:rFonts w:eastAsia="Times New Roman"/>
        </w:rPr>
      </w:pPr>
      <w:r>
        <w:rPr>
          <w:rFonts w:eastAsia="Times New Roman"/>
        </w:rPr>
        <w:t xml:space="preserve"> Para que de algum modo seja possível reaver o equilíbrio</w:t>
      </w:r>
      <w:r w:rsidR="00896C74">
        <w:rPr>
          <w:rFonts w:eastAsia="Times New Roman"/>
        </w:rPr>
        <w:t xml:space="preserve"> econômico entre os ex-cônjuges</w:t>
      </w:r>
      <w:r>
        <w:rPr>
          <w:rFonts w:eastAsia="Times New Roman"/>
        </w:rPr>
        <w:t xml:space="preserve"> surgem os alimentos compensatório</w:t>
      </w:r>
      <w:r w:rsidR="00BF1487">
        <w:rPr>
          <w:rFonts w:eastAsia="Times New Roman"/>
        </w:rPr>
        <w:t xml:space="preserve">s, que </w:t>
      </w:r>
      <w:r>
        <w:rPr>
          <w:rFonts w:eastAsia="Times New Roman"/>
        </w:rPr>
        <w:t>podem acontec</w:t>
      </w:r>
      <w:r w:rsidR="006C4FB4">
        <w:rPr>
          <w:rFonts w:eastAsia="Times New Roman"/>
        </w:rPr>
        <w:t>er em duas versões, quais sejam, de acordo com Madaleno (2024, p. 190-191):</w:t>
      </w:r>
    </w:p>
    <w:p w14:paraId="00000020" w14:textId="326D5AB8" w:rsidR="001C1913" w:rsidRDefault="00311307" w:rsidP="008F3BE8">
      <w:pPr>
        <w:spacing w:before="240" w:after="240"/>
        <w:ind w:left="2260"/>
        <w:jc w:val="both"/>
        <w:rPr>
          <w:rFonts w:eastAsia="Times New Roman"/>
          <w:sz w:val="20"/>
          <w:szCs w:val="20"/>
        </w:rPr>
      </w:pPr>
      <w:r>
        <w:rPr>
          <w:rFonts w:eastAsia="Times New Roman"/>
          <w:sz w:val="20"/>
          <w:szCs w:val="20"/>
        </w:rPr>
        <w:t>(i) a pensão compensatória pela perda, pelo não exercício, ou pela retenção por somente um dos cônjuges da posse e administração dos bens conjugais comuns e que geram qualquer forma de renda, como aluguéis, arrendamentos, frutos naturais, sociedades empresárias, cuja retenção o consorte ou companheiro mantém com exclusividade até a efetiva partilha desses bens comuns e comunicáveis;</w:t>
      </w:r>
    </w:p>
    <w:p w14:paraId="00000021" w14:textId="616A6BD5" w:rsidR="001C1913" w:rsidRDefault="00311307" w:rsidP="008F3BE8">
      <w:pPr>
        <w:spacing w:before="240" w:after="240"/>
        <w:ind w:left="2260"/>
        <w:jc w:val="both"/>
        <w:rPr>
          <w:rFonts w:eastAsia="Times New Roman"/>
          <w:sz w:val="20"/>
          <w:szCs w:val="20"/>
        </w:rPr>
      </w:pPr>
      <w:r>
        <w:rPr>
          <w:rFonts w:eastAsia="Times New Roman"/>
          <w:sz w:val="20"/>
          <w:szCs w:val="20"/>
        </w:rPr>
        <w:t>(</w:t>
      </w:r>
      <w:proofErr w:type="spellStart"/>
      <w:r>
        <w:rPr>
          <w:rFonts w:eastAsia="Times New Roman"/>
          <w:sz w:val="20"/>
          <w:szCs w:val="20"/>
        </w:rPr>
        <w:t>ii</w:t>
      </w:r>
      <w:proofErr w:type="spellEnd"/>
      <w:r>
        <w:rPr>
          <w:rFonts w:eastAsia="Times New Roman"/>
          <w:sz w:val="20"/>
          <w:szCs w:val="20"/>
        </w:rPr>
        <w:t xml:space="preserve">) a pensão compensatória pela queda brusca do padrão econômico e financeiro, especialmente quando quem os reclama tampouco possui bens conjugais ou </w:t>
      </w:r>
      <w:proofErr w:type="spellStart"/>
      <w:r>
        <w:rPr>
          <w:rFonts w:eastAsia="Times New Roman"/>
          <w:sz w:val="20"/>
          <w:szCs w:val="20"/>
        </w:rPr>
        <w:t>convivenciais</w:t>
      </w:r>
      <w:proofErr w:type="spellEnd"/>
      <w:r>
        <w:rPr>
          <w:rFonts w:eastAsia="Times New Roman"/>
          <w:sz w:val="20"/>
          <w:szCs w:val="20"/>
        </w:rPr>
        <w:t xml:space="preserve"> em razão de um regime obrigatório ou con</w:t>
      </w:r>
      <w:r w:rsidR="00D328AA">
        <w:rPr>
          <w:rFonts w:eastAsia="Times New Roman"/>
          <w:sz w:val="20"/>
          <w:szCs w:val="20"/>
        </w:rPr>
        <w:t>v</w:t>
      </w:r>
      <w:r w:rsidR="006C4FB4">
        <w:rPr>
          <w:rFonts w:eastAsia="Times New Roman"/>
          <w:sz w:val="20"/>
          <w:szCs w:val="20"/>
        </w:rPr>
        <w:t>encional de separação de bens.</w:t>
      </w:r>
    </w:p>
    <w:p w14:paraId="00000022" w14:textId="3975A428" w:rsidR="001C1913" w:rsidRDefault="00893E7E" w:rsidP="00C4080F">
      <w:pPr>
        <w:spacing w:before="240" w:line="360" w:lineRule="auto"/>
        <w:ind w:firstLine="700"/>
        <w:jc w:val="both"/>
        <w:rPr>
          <w:rFonts w:eastAsia="Times New Roman"/>
        </w:rPr>
      </w:pPr>
      <w:r>
        <w:rPr>
          <w:rFonts w:eastAsia="Times New Roman"/>
        </w:rPr>
        <w:t xml:space="preserve">Essa modalidade de alimentos </w:t>
      </w:r>
      <w:r w:rsidR="00311307">
        <w:rPr>
          <w:rFonts w:eastAsia="Times New Roman"/>
        </w:rPr>
        <w:t>não possui previsão normativa, sendo um conceito doutrinário su</w:t>
      </w:r>
      <w:r w:rsidR="0056596A">
        <w:rPr>
          <w:rFonts w:eastAsia="Times New Roman"/>
        </w:rPr>
        <w:t xml:space="preserve">stentado pelo autor </w:t>
      </w:r>
      <w:r>
        <w:rPr>
          <w:rFonts w:eastAsia="Times New Roman"/>
        </w:rPr>
        <w:t xml:space="preserve">gaúcho </w:t>
      </w:r>
      <w:r w:rsidR="00311307">
        <w:rPr>
          <w:rFonts w:eastAsia="Times New Roman"/>
        </w:rPr>
        <w:t>que define a finalidade desta modalidade de alimentos, não como a de cobrir as necessidades do cônjuge que necessitar, como acontece nos alimentos convencionais previstos no artigo 1.694 do Código Civil</w:t>
      </w:r>
      <w:r>
        <w:rPr>
          <w:rFonts w:eastAsia="Times New Roman"/>
        </w:rPr>
        <w:t xml:space="preserve"> (BRASIL, 2002)</w:t>
      </w:r>
      <w:r w:rsidR="00311307">
        <w:rPr>
          <w:rFonts w:eastAsia="Times New Roman"/>
        </w:rPr>
        <w:t>, mas a finalidade de corrigir ou compensar o desequilíbrio econômico existente no momento da separação.</w:t>
      </w:r>
    </w:p>
    <w:p w14:paraId="00000023" w14:textId="77777777" w:rsidR="001C1913" w:rsidRDefault="00311307" w:rsidP="00C4080F">
      <w:pPr>
        <w:spacing w:after="240" w:line="360" w:lineRule="auto"/>
        <w:ind w:firstLine="700"/>
        <w:jc w:val="both"/>
        <w:rPr>
          <w:rFonts w:eastAsia="Times New Roman"/>
        </w:rPr>
      </w:pPr>
      <w:r>
        <w:rPr>
          <w:rFonts w:eastAsia="Times New Roman"/>
        </w:rPr>
        <w:t>Imperioso ressaltar que em que pese tal modalidade de alimentos não esteja positivada, o pensamento doutrinário vem sendo incorporado nos Tribunais brasileiros, havendo bom número de julgados defendendo a compensação alimentar no país, vejamos:</w:t>
      </w:r>
    </w:p>
    <w:p w14:paraId="00000024" w14:textId="6717AF03" w:rsidR="001C1913" w:rsidRDefault="00311307" w:rsidP="008F3BE8">
      <w:pPr>
        <w:ind w:left="2260"/>
        <w:jc w:val="both"/>
        <w:rPr>
          <w:rFonts w:eastAsia="Times New Roman"/>
          <w:sz w:val="20"/>
          <w:szCs w:val="20"/>
        </w:rPr>
      </w:pPr>
      <w:r>
        <w:rPr>
          <w:rFonts w:eastAsia="Times New Roman"/>
          <w:sz w:val="20"/>
          <w:szCs w:val="20"/>
        </w:rPr>
        <w:t xml:space="preserve">PROCESSUAL CIVIL. DIREITO CIVIL. FAMÍLIA. SEPARAÇÃO JUDICIAL. PENSÃO ALIMENTÍCIA. BINÔMIO NECESSIDADE/POSSIBILIDADE. ART. 1.694 DO CC/2002. TERMO FINAL. ALIMENTOS COMPENSATÓRIOS (PRESTAÇÃO COMPENSATÓRIA). POSSIBILIDADE. EQUILÍBRIO ECONÔMICO-FINANCEIRO DOS CÔNJUGES. JULGAMENTO EXTRA PETITA NÃO CONFIGURADO. VIOLAÇÃO DO ART. 535 DO CPC NÃO DEMONSTRADA. [...]. 4. Em tais circunstâncias, a suposta contrariedade ao princípio da congruência não se revelou configurada, pois a condenação ao pagamento de alimentos e da prestação compensatória baseou-se nos pedidos também formulados na ação de separação judicial, nos limites delineados pelas partes no curso do processo judicial, conforme se infere da sentença. </w:t>
      </w:r>
      <w:r>
        <w:rPr>
          <w:rFonts w:eastAsia="Times New Roman"/>
          <w:b/>
          <w:sz w:val="20"/>
          <w:szCs w:val="20"/>
        </w:rPr>
        <w:t xml:space="preserve">5. Os chamados alimentos compensatórios, ou prestação compensatória, não têm por finalidade suprir as necessidades de subsistência do credor, tal como ocorre com a pensão alimentícia regulada pelo art. 1.694 do CC/2002, senão corrigir ou atenuar grave desequilíbrio econômico-financeiro ou abrupta alteração do padrão de vida do cônjuge desprovido de bens e de meação. 6. Os alimentos devidos entre ex-cônjuges devem, em regra, ser fixados com termo certo, assegurando-se ao alimentado tempo hábil para sua </w:t>
      </w:r>
      <w:r>
        <w:rPr>
          <w:rFonts w:eastAsia="Times New Roman"/>
          <w:b/>
          <w:sz w:val="20"/>
          <w:szCs w:val="20"/>
        </w:rPr>
        <w:lastRenderedPageBreak/>
        <w:t>inserção, recolocação ou progressão no mercado de trabalho, que lhe possibilite manter, pelas próprias forças, o status social similar ao período do relacionamento. 7. O Tribunal estadual, com fundamento em ampla cognição fático-probatória, assentou que a recorrida, nada obstante ser pessoa jovem e com instrução de nível superior, não possui plenas condições de imediata inserção no mercado de trabalho, além de o rompimento do vínculo conjugal ter-lhe ocasionado nítido desequilíbrio econômico-financeiro.</w:t>
      </w:r>
      <w:r>
        <w:rPr>
          <w:rFonts w:eastAsia="Times New Roman"/>
          <w:sz w:val="20"/>
          <w:szCs w:val="20"/>
        </w:rPr>
        <w:t xml:space="preserve"> [...] (STJ - </w:t>
      </w:r>
      <w:proofErr w:type="spellStart"/>
      <w:r>
        <w:rPr>
          <w:rFonts w:eastAsia="Times New Roman"/>
          <w:sz w:val="20"/>
          <w:szCs w:val="20"/>
        </w:rPr>
        <w:t>REsp</w:t>
      </w:r>
      <w:proofErr w:type="spellEnd"/>
      <w:r>
        <w:rPr>
          <w:rFonts w:eastAsia="Times New Roman"/>
          <w:sz w:val="20"/>
          <w:szCs w:val="20"/>
        </w:rPr>
        <w:t xml:space="preserve">: 1290313 AL 2011/0236970-2, Relator: Ministro </w:t>
      </w:r>
      <w:r w:rsidR="00FF0C7E">
        <w:rPr>
          <w:rFonts w:eastAsia="Times New Roman"/>
          <w:sz w:val="20"/>
          <w:szCs w:val="20"/>
        </w:rPr>
        <w:t>Antônio</w:t>
      </w:r>
      <w:r>
        <w:rPr>
          <w:rFonts w:eastAsia="Times New Roman"/>
          <w:sz w:val="20"/>
          <w:szCs w:val="20"/>
        </w:rPr>
        <w:t xml:space="preserve"> Carlos 3, Data de Julgamento: 12.11.2013, T4 - Quarta Turma, Data de Publicação: </w:t>
      </w:r>
      <w:proofErr w:type="spellStart"/>
      <w:r>
        <w:rPr>
          <w:rFonts w:eastAsia="Times New Roman"/>
          <w:sz w:val="20"/>
          <w:szCs w:val="20"/>
        </w:rPr>
        <w:t>DJe</w:t>
      </w:r>
      <w:proofErr w:type="spellEnd"/>
      <w:r>
        <w:rPr>
          <w:rFonts w:eastAsia="Times New Roman"/>
          <w:sz w:val="20"/>
          <w:szCs w:val="20"/>
        </w:rPr>
        <w:t xml:space="preserve"> 07.11.2014). (Grifos nossos).</w:t>
      </w:r>
    </w:p>
    <w:p w14:paraId="00000025" w14:textId="77777777" w:rsidR="001C1913" w:rsidRDefault="00311307" w:rsidP="00C4080F">
      <w:pPr>
        <w:spacing w:before="240" w:line="360" w:lineRule="auto"/>
        <w:ind w:firstLine="700"/>
        <w:jc w:val="both"/>
        <w:rPr>
          <w:rFonts w:eastAsia="Times New Roman"/>
        </w:rPr>
      </w:pPr>
      <w:r>
        <w:rPr>
          <w:rFonts w:eastAsia="Times New Roman"/>
        </w:rPr>
        <w:t xml:space="preserve">Sendo assim, os alimentos compensatórios têm natureza indenizatória e diferem-se dos alimentos propriamente ditos, uma vez que estes têm natureza assistencial, enquanto aqueles vêm para compensar o desequilíbrio na situação econômica das partes. </w:t>
      </w:r>
    </w:p>
    <w:p w14:paraId="00000026" w14:textId="77777777" w:rsidR="001C1913" w:rsidRDefault="00311307" w:rsidP="00456817">
      <w:pPr>
        <w:spacing w:line="360" w:lineRule="auto"/>
        <w:ind w:firstLine="700"/>
        <w:jc w:val="both"/>
        <w:rPr>
          <w:rFonts w:eastAsia="Times New Roman"/>
        </w:rPr>
      </w:pPr>
      <w:r>
        <w:rPr>
          <w:rFonts w:eastAsia="Times New Roman"/>
        </w:rPr>
        <w:t>Cumpre ressaltar que em razão da natureza indenizatória dessa modalidade de alimentos, este pode ser concedido mesmo que o beneficiário tenha emprego e, portanto, renda própria, podendo também ser pago cumulativamente com a pensão alimentícia convencional pelo mesmo devedor.</w:t>
      </w:r>
    </w:p>
    <w:p w14:paraId="00000027" w14:textId="77777777" w:rsidR="001C1913" w:rsidRDefault="00311307" w:rsidP="00C7705B">
      <w:pPr>
        <w:spacing w:line="360" w:lineRule="auto"/>
        <w:ind w:firstLine="700"/>
        <w:jc w:val="both"/>
        <w:rPr>
          <w:rFonts w:eastAsia="Times New Roman"/>
        </w:rPr>
      </w:pPr>
      <w:r>
        <w:rPr>
          <w:rFonts w:eastAsia="Times New Roman"/>
        </w:rPr>
        <w:t>Há duas modalidades de alimentos compensatórios, que podem ser: humanitários ou patrimoniais. O primeiro é aquele que promove a compensação da queda do padrão econômico sofrido pelo cônjuge que não pôde desenvolver uma atividade remunerada, ou mesmo que tenha desenvolvido ainda sofreu com grande diferença em relação à condição de vida proporcionada pelo casamento.</w:t>
      </w:r>
    </w:p>
    <w:p w14:paraId="00000028" w14:textId="77777777" w:rsidR="001C1913" w:rsidRDefault="00311307" w:rsidP="00350096">
      <w:pPr>
        <w:spacing w:after="240" w:line="360" w:lineRule="auto"/>
        <w:ind w:firstLine="700"/>
        <w:jc w:val="both"/>
        <w:rPr>
          <w:rFonts w:eastAsia="Times New Roman"/>
        </w:rPr>
      </w:pPr>
      <w:r>
        <w:rPr>
          <w:rFonts w:eastAsia="Times New Roman"/>
        </w:rPr>
        <w:t>Lado outro, os alimentos compensatórios patrimoniais são aqueles que possuem previsão no artigo 4º da Lei de Alimentos (Lei nº 5.478), que dispõe que:</w:t>
      </w:r>
    </w:p>
    <w:p w14:paraId="00000029" w14:textId="6822356C" w:rsidR="001C1913" w:rsidRDefault="00311307" w:rsidP="00C7705B">
      <w:pPr>
        <w:spacing w:before="240" w:after="240"/>
        <w:ind w:left="2260"/>
        <w:jc w:val="both"/>
        <w:rPr>
          <w:rFonts w:eastAsia="Times New Roman"/>
          <w:sz w:val="20"/>
          <w:szCs w:val="20"/>
        </w:rPr>
      </w:pPr>
      <w:r>
        <w:rPr>
          <w:rFonts w:eastAsia="Times New Roman"/>
          <w:sz w:val="20"/>
          <w:szCs w:val="20"/>
        </w:rPr>
        <w:t>Se se tratar de alimentos provisórios pedidos pelo cônjuge, casado pelo regime da comunhão universal de bens, o juiz determinará igualmente que seja entregue ao credor, mensalmente, parte da renda líquida dos bens comu</w:t>
      </w:r>
      <w:r w:rsidR="00C7705B">
        <w:rPr>
          <w:rFonts w:eastAsia="Times New Roman"/>
          <w:sz w:val="20"/>
          <w:szCs w:val="20"/>
        </w:rPr>
        <w:t>ns, administrados pelo devedor.</w:t>
      </w:r>
      <w:r w:rsidR="007C37E1">
        <w:rPr>
          <w:rFonts w:eastAsia="Times New Roman"/>
          <w:sz w:val="20"/>
          <w:szCs w:val="20"/>
        </w:rPr>
        <w:t xml:space="preserve"> (BRASIL, 1968)</w:t>
      </w:r>
    </w:p>
    <w:p w14:paraId="0000002A" w14:textId="77777777" w:rsidR="001C1913" w:rsidRDefault="00311307" w:rsidP="00C4080F">
      <w:pPr>
        <w:spacing w:before="240" w:line="360" w:lineRule="auto"/>
        <w:jc w:val="both"/>
        <w:rPr>
          <w:rFonts w:eastAsia="Times New Roman"/>
        </w:rPr>
      </w:pPr>
      <w:r>
        <w:rPr>
          <w:rFonts w:eastAsia="Times New Roman"/>
        </w:rPr>
        <w:t xml:space="preserve">        </w:t>
      </w:r>
      <w:r>
        <w:rPr>
          <w:rFonts w:eastAsia="Times New Roman"/>
        </w:rPr>
        <w:tab/>
        <w:t>Desse modo, o cônjuge que estiver sob a posse exclusiva dos bens comuns ao casal, deverá repassar a parte da renda oriunda do referido bem que cabe ao outro cônjuge.</w:t>
      </w:r>
    </w:p>
    <w:p w14:paraId="0000002B" w14:textId="77777777" w:rsidR="001C1913" w:rsidRDefault="00311307" w:rsidP="00456817">
      <w:pPr>
        <w:spacing w:line="360" w:lineRule="auto"/>
        <w:ind w:firstLine="700"/>
        <w:jc w:val="both"/>
        <w:rPr>
          <w:rFonts w:eastAsia="Times New Roman"/>
        </w:rPr>
      </w:pPr>
      <w:r>
        <w:rPr>
          <w:rFonts w:eastAsia="Times New Roman"/>
        </w:rPr>
        <w:t xml:space="preserve">Por fim, já tendo explanado de forma geral o instituto dos alimentos compensatórios, é importante justificar o motivo da abordagem do presente trabalho ser baseada na perspectiva de gênero. Isso se dá em razão da chance de reerguer-se após o divórcio ser infinitas vezes mais difícil para mulheres, principalmente aquelas com idade a partir dos 50 anos, ou para aquelas que dedicaram sua vida à casa, marido e filhos, não conseguindo reintegrar-se no mercado de trabalho. </w:t>
      </w:r>
    </w:p>
    <w:p w14:paraId="0000002C" w14:textId="2E6F22AA" w:rsidR="001C1913" w:rsidRDefault="00311307" w:rsidP="00C4080F">
      <w:pPr>
        <w:spacing w:line="360" w:lineRule="auto"/>
        <w:ind w:firstLine="700"/>
        <w:jc w:val="both"/>
        <w:rPr>
          <w:rFonts w:eastAsia="Times New Roman"/>
        </w:rPr>
      </w:pPr>
      <w:r>
        <w:rPr>
          <w:rFonts w:eastAsia="Times New Roman"/>
        </w:rPr>
        <w:lastRenderedPageBreak/>
        <w:t>Até mesmo para mulheres que se mantiveram no mercado de trabalho durante a co</w:t>
      </w:r>
      <w:r w:rsidR="006A699E">
        <w:rPr>
          <w:rFonts w:eastAsia="Times New Roman"/>
        </w:rPr>
        <w:t xml:space="preserve">nstância do casamento </w:t>
      </w:r>
      <w:r>
        <w:rPr>
          <w:rFonts w:eastAsia="Times New Roman"/>
        </w:rPr>
        <w:t xml:space="preserve">é difícil manter o padrão de vida que tinham durante o casamento após o divórcio, em razão da soma de rendas e da desigualdade salarial entre homens e mulheres. </w:t>
      </w:r>
    </w:p>
    <w:p w14:paraId="0000002D" w14:textId="0ED871C2" w:rsidR="001C1913" w:rsidRDefault="00311307" w:rsidP="00456817">
      <w:pPr>
        <w:spacing w:after="240" w:line="360" w:lineRule="auto"/>
        <w:ind w:firstLine="700"/>
        <w:jc w:val="both"/>
        <w:rPr>
          <w:rFonts w:eastAsia="Times New Roman"/>
          <w:b/>
        </w:rPr>
      </w:pPr>
      <w:r>
        <w:rPr>
          <w:rFonts w:eastAsia="Times New Roman"/>
        </w:rPr>
        <w:t>Assim, esta pesquisa se prestará na análise dos alimentos compensatórios com perspectiva de gênero sob a égide do Protocolo de Julgamen</w:t>
      </w:r>
      <w:r w:rsidR="00744A4F">
        <w:rPr>
          <w:rFonts w:eastAsia="Times New Roman"/>
        </w:rPr>
        <w:t xml:space="preserve">to com Perspectiva de Gênero (CONSELHO NACIONAL DE JUSTIÇA, 2021) </w:t>
      </w:r>
      <w:r>
        <w:rPr>
          <w:rFonts w:eastAsia="Times New Roman"/>
        </w:rPr>
        <w:t xml:space="preserve">o que se faz no capítulo a seguir. </w:t>
      </w:r>
    </w:p>
    <w:p w14:paraId="3C4733F8" w14:textId="5788B690" w:rsidR="006E641C" w:rsidRPr="004F6096" w:rsidRDefault="00311307" w:rsidP="004F6096">
      <w:pPr>
        <w:numPr>
          <w:ilvl w:val="0"/>
          <w:numId w:val="1"/>
        </w:numPr>
        <w:spacing w:line="360" w:lineRule="auto"/>
        <w:rPr>
          <w:rFonts w:eastAsia="Times New Roman"/>
          <w:b/>
        </w:rPr>
      </w:pPr>
      <w:r w:rsidRPr="000F1492">
        <w:rPr>
          <w:rFonts w:eastAsia="Times New Roman"/>
          <w:b/>
        </w:rPr>
        <w:t>DO PROTOCOLO DE JULGAMENTO COM PERSPECTIVA DE GÊNERO</w:t>
      </w:r>
    </w:p>
    <w:p w14:paraId="0000002F" w14:textId="127F64B5" w:rsidR="001C1913" w:rsidRDefault="00311307" w:rsidP="006E641C">
      <w:pPr>
        <w:spacing w:line="360" w:lineRule="auto"/>
        <w:ind w:firstLine="709"/>
        <w:jc w:val="both"/>
        <w:rPr>
          <w:rFonts w:eastAsia="Times New Roman"/>
        </w:rPr>
      </w:pPr>
      <w:r>
        <w:rPr>
          <w:rFonts w:eastAsia="Times New Roman"/>
        </w:rPr>
        <w:t xml:space="preserve">É cediço que a Constituição da República </w:t>
      </w:r>
      <w:r w:rsidR="006A699E">
        <w:rPr>
          <w:rFonts w:eastAsia="Times New Roman"/>
        </w:rPr>
        <w:t xml:space="preserve">Federativa do Brasil (BRASIL, 1988) </w:t>
      </w:r>
      <w:r>
        <w:rPr>
          <w:rFonts w:eastAsia="Times New Roman"/>
        </w:rPr>
        <w:t xml:space="preserve">é totalmente envolvida e demonstra grande preocupação com os direitos sociais ao atribuir a todos os cidadãos o mesmo patamar, dispondo que </w:t>
      </w:r>
      <w:r w:rsidR="00744A4F">
        <w:rPr>
          <w:rFonts w:eastAsia="Times New Roman"/>
        </w:rPr>
        <w:t xml:space="preserve">todos são iguais perante a lei em seu artigo 5º. </w:t>
      </w:r>
    </w:p>
    <w:p w14:paraId="00000030" w14:textId="77777777" w:rsidR="001C1913" w:rsidRDefault="00311307" w:rsidP="000F1492">
      <w:pPr>
        <w:spacing w:line="360" w:lineRule="auto"/>
        <w:jc w:val="both"/>
        <w:rPr>
          <w:rFonts w:eastAsia="Times New Roman"/>
        </w:rPr>
      </w:pPr>
      <w:r>
        <w:rPr>
          <w:rFonts w:eastAsia="Times New Roman"/>
        </w:rPr>
        <w:t xml:space="preserve">        </w:t>
      </w:r>
      <w:r>
        <w:rPr>
          <w:rFonts w:eastAsia="Times New Roman"/>
        </w:rPr>
        <w:tab/>
        <w:t>No entanto, mesmo com todas as disposições legislativas, a sociedade ainda é regada de desigualdades, principalmente entre homens e mulheres, que embora reconhecidos como iguais, é possível visualizar que a sociedade ainda possui fortes traços patriarcais.</w:t>
      </w:r>
    </w:p>
    <w:p w14:paraId="00000031" w14:textId="72D606F9" w:rsidR="001C1913" w:rsidRDefault="00311307" w:rsidP="00C4080F">
      <w:pPr>
        <w:spacing w:line="360" w:lineRule="auto"/>
        <w:jc w:val="both"/>
        <w:rPr>
          <w:rFonts w:eastAsia="Times New Roman"/>
        </w:rPr>
      </w:pPr>
      <w:r>
        <w:rPr>
          <w:rFonts w:eastAsia="Times New Roman"/>
        </w:rPr>
        <w:t xml:space="preserve">        </w:t>
      </w:r>
      <w:r>
        <w:rPr>
          <w:rFonts w:eastAsia="Times New Roman"/>
        </w:rPr>
        <w:tab/>
        <w:t>As desigualdades de gênero assombram as mulheres em todos os âmbitos, seja no trabalho quando exercem a mesma</w:t>
      </w:r>
      <w:r w:rsidR="00744A4F">
        <w:rPr>
          <w:rFonts w:eastAsia="Times New Roman"/>
        </w:rPr>
        <w:t xml:space="preserve"> função de um homem e ganham </w:t>
      </w:r>
      <w:r>
        <w:rPr>
          <w:rFonts w:eastAsia="Times New Roman"/>
        </w:rPr>
        <w:t xml:space="preserve">salário menor do que o deles, ou até mesmo dentro do sistema judiciário, quando uma mulher é prejudicada por uma sentença que não levou em </w:t>
      </w:r>
      <w:r w:rsidR="00744A4F">
        <w:rPr>
          <w:rFonts w:eastAsia="Times New Roman"/>
        </w:rPr>
        <w:t xml:space="preserve">consideração </w:t>
      </w:r>
      <w:r>
        <w:rPr>
          <w:rFonts w:eastAsia="Times New Roman"/>
        </w:rPr>
        <w:t>suas dificuldades para provar determinada questão.</w:t>
      </w:r>
    </w:p>
    <w:p w14:paraId="00000032" w14:textId="433CC589" w:rsidR="001C1913" w:rsidRDefault="00311307" w:rsidP="00C4080F">
      <w:pPr>
        <w:spacing w:after="240" w:line="360" w:lineRule="auto"/>
        <w:jc w:val="both"/>
        <w:rPr>
          <w:rFonts w:eastAsia="Times New Roman"/>
        </w:rPr>
      </w:pPr>
      <w:r>
        <w:rPr>
          <w:rFonts w:eastAsia="Times New Roman"/>
        </w:rPr>
        <w:tab/>
        <w:t>Em razão deste cenário, é de suma importância, antes de iniciar a discussão acerca do objetivo, que aqui é expor e analisar o Protocolo de Julgamento com Perspectiva de Gênero, criado pelo CNJ como meio de atenuar as desigualdades de gênero no sistema judiciário brasileiro, conhecer sobre o histórico da construção dos direitos da</w:t>
      </w:r>
      <w:r w:rsidR="007B34A9">
        <w:rPr>
          <w:rFonts w:eastAsia="Times New Roman"/>
        </w:rPr>
        <w:t>s</w:t>
      </w:r>
      <w:r>
        <w:rPr>
          <w:rFonts w:eastAsia="Times New Roman"/>
        </w:rPr>
        <w:t xml:space="preserve"> mulheres, uma vez que, confor</w:t>
      </w:r>
      <w:r w:rsidR="007B34A9">
        <w:rPr>
          <w:rFonts w:eastAsia="Times New Roman"/>
        </w:rPr>
        <w:t xml:space="preserve">me </w:t>
      </w:r>
      <w:r>
        <w:rPr>
          <w:rFonts w:eastAsia="Times New Roman"/>
        </w:rPr>
        <w:t xml:space="preserve">Maria Rita </w:t>
      </w:r>
      <w:proofErr w:type="spellStart"/>
      <w:r>
        <w:rPr>
          <w:rFonts w:eastAsia="Times New Roman"/>
        </w:rPr>
        <w:t>Khel</w:t>
      </w:r>
      <w:proofErr w:type="spellEnd"/>
      <w:r w:rsidR="007B34A9">
        <w:rPr>
          <w:rFonts w:eastAsia="Times New Roman"/>
        </w:rPr>
        <w:t xml:space="preserve"> (2016</w:t>
      </w:r>
      <w:r w:rsidR="006C4FB4">
        <w:rPr>
          <w:rFonts w:eastAsia="Times New Roman"/>
        </w:rPr>
        <w:t>, p. 39):</w:t>
      </w:r>
      <w:r>
        <w:rPr>
          <w:rFonts w:eastAsia="Times New Roman"/>
        </w:rPr>
        <w:t xml:space="preserve"> </w:t>
      </w:r>
    </w:p>
    <w:p w14:paraId="00000033" w14:textId="324CC35B" w:rsidR="001C1913" w:rsidRDefault="006C4FB4" w:rsidP="007B34A9">
      <w:pPr>
        <w:spacing w:before="240" w:after="240"/>
        <w:ind w:left="2267"/>
        <w:jc w:val="both"/>
        <w:rPr>
          <w:rFonts w:eastAsia="Times New Roman"/>
          <w:sz w:val="20"/>
          <w:szCs w:val="20"/>
        </w:rPr>
      </w:pPr>
      <w:r>
        <w:rPr>
          <w:rFonts w:eastAsia="Times New Roman"/>
          <w:sz w:val="20"/>
          <w:szCs w:val="20"/>
        </w:rPr>
        <w:t>[...] c</w:t>
      </w:r>
      <w:r w:rsidR="00311307">
        <w:rPr>
          <w:rFonts w:eastAsia="Times New Roman"/>
          <w:sz w:val="20"/>
          <w:szCs w:val="20"/>
        </w:rPr>
        <w:t xml:space="preserve">onhecer as origens do discurso que confere às mulheres um lugar fixado pela tradição - no campo do </w:t>
      </w:r>
      <w:r w:rsidR="00311307" w:rsidRPr="007B34A9">
        <w:rPr>
          <w:rFonts w:eastAsia="Times New Roman"/>
          <w:sz w:val="20"/>
          <w:szCs w:val="20"/>
        </w:rPr>
        <w:t>Outro</w:t>
      </w:r>
      <w:r w:rsidR="00311307">
        <w:rPr>
          <w:rFonts w:eastAsia="Times New Roman"/>
          <w:sz w:val="20"/>
          <w:szCs w:val="20"/>
        </w:rPr>
        <w:t xml:space="preserve"> é a primeira condição para que se possa pensar sobre ele, perceber o quanto pode ser modificado ou, mais ainda, o quanto já se modificou na prática, sem que a teo</w:t>
      </w:r>
      <w:r>
        <w:rPr>
          <w:rFonts w:eastAsia="Times New Roman"/>
          <w:sz w:val="20"/>
          <w:szCs w:val="20"/>
        </w:rPr>
        <w:t>ria conseguisse dar conta disso.</w:t>
      </w:r>
    </w:p>
    <w:p w14:paraId="00000034" w14:textId="439342E9" w:rsidR="001C1913" w:rsidRDefault="00311307" w:rsidP="00C4080F">
      <w:pPr>
        <w:spacing w:before="240" w:line="360" w:lineRule="auto"/>
        <w:jc w:val="both"/>
        <w:rPr>
          <w:rFonts w:eastAsia="Times New Roman"/>
        </w:rPr>
      </w:pPr>
      <w:r>
        <w:rPr>
          <w:rFonts w:eastAsia="Times New Roman"/>
        </w:rPr>
        <w:tab/>
        <w:t>Por muitos</w:t>
      </w:r>
      <w:r w:rsidR="007B5E9B">
        <w:rPr>
          <w:rFonts w:eastAsia="Times New Roman"/>
        </w:rPr>
        <w:t xml:space="preserve"> anos a mulher foi vista como dona do lar</w:t>
      </w:r>
      <w:r>
        <w:rPr>
          <w:rFonts w:eastAsia="Times New Roman"/>
        </w:rPr>
        <w:t>, e seu papel na sociedade era estritament</w:t>
      </w:r>
      <w:r w:rsidR="007B5E9B">
        <w:rPr>
          <w:rFonts w:eastAsia="Times New Roman"/>
        </w:rPr>
        <w:t xml:space="preserve">e de reprodução e cuidado com </w:t>
      </w:r>
      <w:r>
        <w:rPr>
          <w:rFonts w:eastAsia="Times New Roman"/>
        </w:rPr>
        <w:t>casa, filhos e marido. As mulheres sempre foram reduzidas a um mero objeto de dom</w:t>
      </w:r>
      <w:r w:rsidR="007B5E9B">
        <w:rPr>
          <w:rFonts w:eastAsia="Times New Roman"/>
        </w:rPr>
        <w:t>ínio e submissão em relação ao chefe</w:t>
      </w:r>
      <w:r>
        <w:rPr>
          <w:rFonts w:eastAsia="Times New Roman"/>
        </w:rPr>
        <w:t xml:space="preserve"> da sua família. </w:t>
      </w:r>
    </w:p>
    <w:p w14:paraId="0A624348" w14:textId="516BE56F" w:rsidR="00437255" w:rsidRDefault="00311307" w:rsidP="00437255">
      <w:pPr>
        <w:spacing w:line="360" w:lineRule="auto"/>
        <w:jc w:val="both"/>
        <w:rPr>
          <w:rFonts w:eastAsia="Times New Roman"/>
        </w:rPr>
      </w:pPr>
      <w:r>
        <w:rPr>
          <w:rFonts w:eastAsia="Times New Roman"/>
        </w:rPr>
        <w:tab/>
        <w:t>Isso porque, a ela</w:t>
      </w:r>
      <w:r w:rsidR="007B5E9B">
        <w:rPr>
          <w:rFonts w:eastAsia="Times New Roman"/>
        </w:rPr>
        <w:t>s era atribuído um conceito de não função</w:t>
      </w:r>
      <w:r>
        <w:rPr>
          <w:rFonts w:eastAsia="Times New Roman"/>
        </w:rPr>
        <w:t xml:space="preserve">, nesse sentido, </w:t>
      </w:r>
      <w:proofErr w:type="spellStart"/>
      <w:r>
        <w:rPr>
          <w:rFonts w:eastAsia="Times New Roman"/>
        </w:rPr>
        <w:t>June</w:t>
      </w:r>
      <w:proofErr w:type="spellEnd"/>
      <w:r>
        <w:rPr>
          <w:rFonts w:eastAsia="Times New Roman"/>
        </w:rPr>
        <w:t xml:space="preserve"> </w:t>
      </w:r>
      <w:proofErr w:type="spellStart"/>
      <w:r>
        <w:rPr>
          <w:rFonts w:eastAsia="Times New Roman"/>
        </w:rPr>
        <w:t>Hahner</w:t>
      </w:r>
      <w:proofErr w:type="spellEnd"/>
      <w:r>
        <w:rPr>
          <w:rFonts w:eastAsia="Times New Roman"/>
        </w:rPr>
        <w:t xml:space="preserve"> </w:t>
      </w:r>
      <w:r w:rsidR="00437255">
        <w:rPr>
          <w:rFonts w:eastAsia="Times New Roman"/>
        </w:rPr>
        <w:t>(1981</w:t>
      </w:r>
      <w:r w:rsidR="006C4FB4">
        <w:rPr>
          <w:rFonts w:eastAsia="Times New Roman"/>
        </w:rPr>
        <w:t>, p. 45</w:t>
      </w:r>
      <w:r w:rsidR="00437255">
        <w:rPr>
          <w:rFonts w:eastAsia="Times New Roman"/>
        </w:rPr>
        <w:t>) defende que:</w:t>
      </w:r>
    </w:p>
    <w:p w14:paraId="29FDCAAF" w14:textId="77777777" w:rsidR="00437255" w:rsidRDefault="00437255" w:rsidP="00437255">
      <w:pPr>
        <w:jc w:val="both"/>
        <w:rPr>
          <w:rFonts w:eastAsia="Times New Roman"/>
        </w:rPr>
      </w:pPr>
    </w:p>
    <w:p w14:paraId="00000035" w14:textId="177FC562" w:rsidR="001C1913" w:rsidRDefault="00437255" w:rsidP="006C4FB4">
      <w:pPr>
        <w:ind w:left="2160"/>
        <w:jc w:val="both"/>
        <w:rPr>
          <w:rFonts w:eastAsia="Times New Roman"/>
          <w:sz w:val="20"/>
          <w:szCs w:val="20"/>
        </w:rPr>
      </w:pPr>
      <w:r>
        <w:rPr>
          <w:rFonts w:eastAsia="Times New Roman"/>
          <w:sz w:val="20"/>
          <w:szCs w:val="20"/>
        </w:rPr>
        <w:t>O</w:t>
      </w:r>
      <w:r w:rsidR="00311307" w:rsidRPr="00437255">
        <w:rPr>
          <w:rFonts w:eastAsia="Times New Roman"/>
          <w:sz w:val="20"/>
          <w:szCs w:val="20"/>
        </w:rPr>
        <w:t xml:space="preserve">s homens, enquanto transmissores tradicionais da cultura na sociedade, incluindo o registro histórico, veiculavam aquilo que consideravam e julgavam </w:t>
      </w:r>
      <w:r>
        <w:rPr>
          <w:rFonts w:eastAsia="Times New Roman"/>
          <w:sz w:val="20"/>
          <w:szCs w:val="20"/>
        </w:rPr>
        <w:t xml:space="preserve">importante (...) </w:t>
      </w:r>
      <w:r w:rsidR="00311307" w:rsidRPr="00437255">
        <w:rPr>
          <w:rFonts w:eastAsia="Times New Roman"/>
          <w:sz w:val="20"/>
          <w:szCs w:val="20"/>
        </w:rPr>
        <w:t xml:space="preserve">na </w:t>
      </w:r>
      <w:r w:rsidR="00311307" w:rsidRPr="00437255">
        <w:rPr>
          <w:rFonts w:eastAsia="Times New Roman"/>
          <w:sz w:val="20"/>
          <w:szCs w:val="20"/>
        </w:rPr>
        <w:lastRenderedPageBreak/>
        <w:t>medida em que as atividades das mulheres se diferencia consideravelmente das suas, elas foram consideradas sem significação e até indignas de menção. Por isso as mulheres permaneceram à margem das principais relaçõe</w:t>
      </w:r>
      <w:r>
        <w:rPr>
          <w:rFonts w:eastAsia="Times New Roman"/>
          <w:sz w:val="20"/>
          <w:szCs w:val="20"/>
        </w:rPr>
        <w:t xml:space="preserve">s de </w:t>
      </w:r>
      <w:r w:rsidR="006C4FB4">
        <w:rPr>
          <w:rFonts w:eastAsia="Times New Roman"/>
          <w:sz w:val="20"/>
          <w:szCs w:val="20"/>
        </w:rPr>
        <w:t>desenvolvimento histórico.</w:t>
      </w:r>
    </w:p>
    <w:p w14:paraId="07FB84AA" w14:textId="77777777" w:rsidR="00437255" w:rsidRPr="00437255" w:rsidRDefault="00437255" w:rsidP="00437255">
      <w:pPr>
        <w:spacing w:line="360" w:lineRule="auto"/>
        <w:ind w:left="2160"/>
        <w:jc w:val="both"/>
        <w:rPr>
          <w:rFonts w:eastAsia="Times New Roman"/>
          <w:sz w:val="20"/>
          <w:szCs w:val="20"/>
        </w:rPr>
      </w:pPr>
    </w:p>
    <w:p w14:paraId="00000036" w14:textId="68E4693A" w:rsidR="001C1913" w:rsidRDefault="00311307" w:rsidP="00C4080F">
      <w:pPr>
        <w:spacing w:line="360" w:lineRule="auto"/>
        <w:jc w:val="both"/>
        <w:rPr>
          <w:rFonts w:eastAsia="Times New Roman"/>
        </w:rPr>
      </w:pPr>
      <w:r>
        <w:rPr>
          <w:rFonts w:eastAsia="Times New Roman"/>
        </w:rPr>
        <w:t xml:space="preserve"> </w:t>
      </w:r>
      <w:r>
        <w:rPr>
          <w:rFonts w:eastAsia="Times New Roman"/>
        </w:rPr>
        <w:tab/>
        <w:t>Percebe-se que pelo fato de suas atribuições serem do lar, por não ocuparem papeis em instituições de ensino e tampouco no mercado de trabalho, tal como os homens, a</w:t>
      </w:r>
      <w:r w:rsidR="00437255">
        <w:rPr>
          <w:rFonts w:eastAsia="Times New Roman"/>
        </w:rPr>
        <w:t>s</w:t>
      </w:r>
      <w:r>
        <w:rPr>
          <w:rFonts w:eastAsia="Times New Roman"/>
        </w:rPr>
        <w:t xml:space="preserve"> m</w:t>
      </w:r>
      <w:r w:rsidR="00437255">
        <w:rPr>
          <w:rFonts w:eastAsia="Times New Roman"/>
        </w:rPr>
        <w:t xml:space="preserve">ulheres eram descredibilizadas, </w:t>
      </w:r>
      <w:r>
        <w:rPr>
          <w:rFonts w:eastAsia="Times New Roman"/>
        </w:rPr>
        <w:t xml:space="preserve">como se fossem invisíveis aos olhos da sociedade, portanto, como se seu papel fosse dispensável para o desenvolvimento social, não sendo dignas de direito algum. </w:t>
      </w:r>
    </w:p>
    <w:p w14:paraId="00000037" w14:textId="6AEBBE52" w:rsidR="001C1913" w:rsidRDefault="00311307" w:rsidP="00456817">
      <w:pPr>
        <w:spacing w:line="360" w:lineRule="auto"/>
        <w:jc w:val="both"/>
        <w:rPr>
          <w:rFonts w:eastAsia="Times New Roman"/>
        </w:rPr>
      </w:pPr>
      <w:r>
        <w:rPr>
          <w:rFonts w:eastAsia="Times New Roman"/>
        </w:rPr>
        <w:tab/>
        <w:t>Essa realidade perdurou por muitos anos, isso tudo em razão dos homens, conforme a autora supracitada, serem tran</w:t>
      </w:r>
      <w:r w:rsidR="007B5E9B">
        <w:rPr>
          <w:rFonts w:eastAsia="Times New Roman"/>
        </w:rPr>
        <w:t xml:space="preserve">smissores da cultura, sendo </w:t>
      </w:r>
      <w:r>
        <w:rPr>
          <w:rFonts w:eastAsia="Times New Roman"/>
        </w:rPr>
        <w:t xml:space="preserve">por eles que os costumes foram disseminados, além de serem eles os legisladores e garantidores do direito, cenário que permanece atual. </w:t>
      </w:r>
    </w:p>
    <w:p w14:paraId="00000038" w14:textId="30A37244" w:rsidR="001C1913" w:rsidRDefault="00350096" w:rsidP="00456817">
      <w:pPr>
        <w:spacing w:line="360" w:lineRule="auto"/>
        <w:jc w:val="both"/>
        <w:rPr>
          <w:rFonts w:eastAsia="Times New Roman"/>
        </w:rPr>
      </w:pPr>
      <w:r>
        <w:rPr>
          <w:rFonts w:eastAsia="Times New Roman"/>
        </w:rPr>
        <w:tab/>
        <w:t xml:space="preserve"> Diante disso, o </w:t>
      </w:r>
      <w:r w:rsidR="00311307">
        <w:rPr>
          <w:rFonts w:eastAsia="Times New Roman"/>
        </w:rPr>
        <w:t xml:space="preserve">Conselho Nacional de Justiça criou o Protocolo de Julgamento </w:t>
      </w:r>
      <w:r w:rsidR="007B5E9B">
        <w:rPr>
          <w:rFonts w:eastAsia="Times New Roman"/>
        </w:rPr>
        <w:t xml:space="preserve">com Perspectiva de Gênero com o </w:t>
      </w:r>
      <w:r w:rsidR="00311307">
        <w:rPr>
          <w:rFonts w:eastAsia="Times New Roman"/>
        </w:rPr>
        <w:t>objetivo de orientar os magistrados quando do julgamento de casos concretos, de modo a julgarem sob a égide do gênero, como mais uma política pública com o fito de refrear as desigualdades de gênero, contribuindo para a equidade.</w:t>
      </w:r>
    </w:p>
    <w:p w14:paraId="00000039" w14:textId="77777777" w:rsidR="001C1913" w:rsidRDefault="00311307" w:rsidP="00C4080F">
      <w:pPr>
        <w:spacing w:line="360" w:lineRule="auto"/>
        <w:jc w:val="both"/>
        <w:rPr>
          <w:rFonts w:eastAsia="Times New Roman"/>
        </w:rPr>
      </w:pPr>
      <w:r>
        <w:rPr>
          <w:rFonts w:eastAsia="Times New Roman"/>
        </w:rPr>
        <w:tab/>
        <w:t>Reconhecendo assim as dificuldades enfrentadas pelas mulheres brasileiras que ocupam posição vulnerável na sociedade em diversas áreas da sua vida, desde as relações sociais às profissionais e familiares.</w:t>
      </w:r>
    </w:p>
    <w:p w14:paraId="0000003A" w14:textId="77777777" w:rsidR="001C1913" w:rsidRDefault="00311307" w:rsidP="00C4080F">
      <w:pPr>
        <w:spacing w:line="360" w:lineRule="auto"/>
        <w:jc w:val="both"/>
        <w:rPr>
          <w:rFonts w:eastAsia="Times New Roman"/>
        </w:rPr>
      </w:pPr>
      <w:r>
        <w:rPr>
          <w:rFonts w:eastAsia="Times New Roman"/>
        </w:rPr>
        <w:t xml:space="preserve">        </w:t>
      </w:r>
      <w:r>
        <w:rPr>
          <w:rFonts w:eastAsia="Times New Roman"/>
        </w:rPr>
        <w:tab/>
        <w:t xml:space="preserve">O Protocolo é dividido em orientações por competência, no entanto, como o objetivo deste trabalho é discutir o momento ideal para a fixação dos alimentos compensatórios, serão analisadas apenas as disposições atinentes ao tema. </w:t>
      </w:r>
    </w:p>
    <w:p w14:paraId="0000003B" w14:textId="3E29572E" w:rsidR="001C1913" w:rsidRDefault="00311307" w:rsidP="00C4080F">
      <w:pPr>
        <w:spacing w:line="360" w:lineRule="auto"/>
        <w:jc w:val="both"/>
        <w:rPr>
          <w:rFonts w:eastAsia="Times New Roman"/>
        </w:rPr>
      </w:pPr>
      <w:r>
        <w:rPr>
          <w:rFonts w:eastAsia="Times New Roman"/>
        </w:rPr>
        <w:tab/>
        <w:t xml:space="preserve">Nesse viés, o documento do CNJ dispõe que quanto ao Direito de Família é essencial a atuação sob a perspectiva de gênero, tendo em vista que as relações domésticas são marcadas desde o antepassado, pelos deveres de cuidado doméstico sem remuneração para as mulheres, e pela predominância da </w:t>
      </w:r>
      <w:r w:rsidR="00255C32">
        <w:rPr>
          <w:rFonts w:eastAsia="Times New Roman"/>
        </w:rPr>
        <w:t>dominação e poder atribuídos</w:t>
      </w:r>
      <w:r w:rsidR="007B5E9B">
        <w:rPr>
          <w:rFonts w:eastAsia="Times New Roman"/>
        </w:rPr>
        <w:t xml:space="preserve"> ao homem, “chefe</w:t>
      </w:r>
      <w:r>
        <w:rPr>
          <w:rFonts w:eastAsia="Times New Roman"/>
        </w:rPr>
        <w:t xml:space="preserve"> da família”. </w:t>
      </w:r>
    </w:p>
    <w:p w14:paraId="0000003C" w14:textId="551A07FA" w:rsidR="001C1913" w:rsidRDefault="00311307" w:rsidP="00456817">
      <w:pPr>
        <w:spacing w:line="360" w:lineRule="auto"/>
        <w:jc w:val="both"/>
        <w:rPr>
          <w:rFonts w:eastAsia="Times New Roman"/>
        </w:rPr>
      </w:pPr>
      <w:r>
        <w:rPr>
          <w:rFonts w:eastAsia="Times New Roman"/>
        </w:rPr>
        <w:tab/>
        <w:t>O documento do CNJ reconhece que a construção de estereótipos de gênero que atribuem papeis e expectativas de comporta</w:t>
      </w:r>
      <w:r w:rsidR="007B5E9B">
        <w:rPr>
          <w:rFonts w:eastAsia="Times New Roman"/>
        </w:rPr>
        <w:t>mento às mulheres, podem levar a</w:t>
      </w:r>
      <w:r>
        <w:rPr>
          <w:rFonts w:eastAsia="Times New Roman"/>
        </w:rPr>
        <w:t xml:space="preserve"> não observância dos direitos das mulheres, o que acarreta várias vezes perdas financeiras e sobrecargas a elas, que precisam abdicar de suas obrigações profissionais (quando as possui), para destinar-se aos filhos. </w:t>
      </w:r>
    </w:p>
    <w:p w14:paraId="0000003D" w14:textId="77777777" w:rsidR="001C1913" w:rsidRDefault="00311307" w:rsidP="006A37A3">
      <w:pPr>
        <w:spacing w:line="360" w:lineRule="auto"/>
        <w:jc w:val="both"/>
        <w:rPr>
          <w:rFonts w:eastAsia="Times New Roman"/>
        </w:rPr>
      </w:pPr>
      <w:r>
        <w:rPr>
          <w:rFonts w:eastAsia="Times New Roman"/>
        </w:rPr>
        <w:tab/>
        <w:t>Principalmente quando estamos diante de um julgador do sexo oposto ao feminino, o que torna ainda mais difícil o reconhecimento destes esforços e diferenças enfrentadas pelas mulheres, isso pois, por já estarem acostumados com essa visão da sociedade, acabam por não entenderem o quão grande é a dificuldade enfrentada quando se trata do gênero feminino.</w:t>
      </w:r>
    </w:p>
    <w:p w14:paraId="0000003E" w14:textId="77777777" w:rsidR="001C1913" w:rsidRDefault="00311307" w:rsidP="006A37A3">
      <w:pPr>
        <w:spacing w:line="360" w:lineRule="auto"/>
        <w:jc w:val="both"/>
        <w:rPr>
          <w:rFonts w:eastAsia="Times New Roman"/>
        </w:rPr>
      </w:pPr>
      <w:r>
        <w:rPr>
          <w:rFonts w:eastAsia="Times New Roman"/>
        </w:rPr>
        <w:lastRenderedPageBreak/>
        <w:tab/>
        <w:t xml:space="preserve">Inclusive, muitas vezes por buscarem pela efetivação de seus direitos as mulheres são vistas como vingativas, loucas, histéricas, como aquelas inventam situações para ganhar vantagem, e suas argumentações são enxergadas como sem credibilidade, sendo sempre questionadas, uma vez que tendo um homem como julgador, este tende a acolher a versão de seu semelhante. </w:t>
      </w:r>
    </w:p>
    <w:p w14:paraId="0000003F" w14:textId="04C107EB" w:rsidR="001C1913" w:rsidRDefault="00311307" w:rsidP="006A37A3">
      <w:pPr>
        <w:spacing w:line="360" w:lineRule="auto"/>
        <w:jc w:val="both"/>
        <w:rPr>
          <w:rFonts w:eastAsia="Times New Roman"/>
        </w:rPr>
      </w:pPr>
      <w:r>
        <w:rPr>
          <w:rFonts w:eastAsia="Times New Roman"/>
        </w:rPr>
        <w:tab/>
        <w:t>Segundo o Relatório de Perfil Sociodemográfico dos</w:t>
      </w:r>
      <w:r w:rsidR="00832FE8">
        <w:rPr>
          <w:rFonts w:eastAsia="Times New Roman"/>
        </w:rPr>
        <w:t xml:space="preserve"> Magistrados (CONSELHO NACIONAL DE JUSTIÇA, 2018)</w:t>
      </w:r>
      <w:r w:rsidR="007B5E9B">
        <w:rPr>
          <w:rFonts w:eastAsia="Times New Roman"/>
        </w:rPr>
        <w:t xml:space="preserve">, </w:t>
      </w:r>
      <w:r>
        <w:rPr>
          <w:rFonts w:eastAsia="Times New Roman"/>
        </w:rPr>
        <w:t>no Brasil, a participação feminina no judiciário é ínfima</w:t>
      </w:r>
      <w:r w:rsidR="006C1C80">
        <w:rPr>
          <w:rFonts w:eastAsia="Times New Roman"/>
        </w:rPr>
        <w:t>,</w:t>
      </w:r>
      <w:r>
        <w:rPr>
          <w:rFonts w:eastAsia="Times New Roman"/>
        </w:rPr>
        <w:t xml:space="preserve"> sendo de 37%, revelando que em sua maioria, o perfil dos magistrados do país compõe-se por homens, brancos, católicos, casados e com filhos. </w:t>
      </w:r>
    </w:p>
    <w:p w14:paraId="00000040" w14:textId="77777777" w:rsidR="001C1913" w:rsidRDefault="00311307" w:rsidP="008F3BE8">
      <w:pPr>
        <w:spacing w:line="360" w:lineRule="auto"/>
        <w:jc w:val="both"/>
        <w:rPr>
          <w:rFonts w:eastAsia="Times New Roman"/>
        </w:rPr>
      </w:pPr>
      <w:r>
        <w:rPr>
          <w:rFonts w:eastAsia="Times New Roman"/>
        </w:rPr>
        <w:tab/>
        <w:t xml:space="preserve">Isso justifica o padrão histórico de patriarcado que assombra a realidade das mulheres até os dias atuais, impactando até no exercício dos direitos femininos. </w:t>
      </w:r>
    </w:p>
    <w:p w14:paraId="00000041" w14:textId="7937A778" w:rsidR="001C1913" w:rsidRDefault="00311307" w:rsidP="00213139">
      <w:pPr>
        <w:spacing w:line="360" w:lineRule="auto"/>
        <w:ind w:firstLine="720"/>
        <w:jc w:val="both"/>
        <w:rPr>
          <w:rFonts w:eastAsia="Times New Roman"/>
        </w:rPr>
      </w:pPr>
      <w:r>
        <w:rPr>
          <w:rFonts w:eastAsia="Times New Roman"/>
        </w:rPr>
        <w:t xml:space="preserve">É nesse cenário que o Protocolo de Julgamento com Perspectiva de Gênero entra em cena, com a finalidade de, no âmbito do Direito de Família, garantir um julgamento justo, com equidade, imparcialidade, minorando as </w:t>
      </w:r>
      <w:r w:rsidR="006C1C80">
        <w:rPr>
          <w:rFonts w:eastAsia="Times New Roman"/>
        </w:rPr>
        <w:t>discriminações e preconceitos baseados</w:t>
      </w:r>
      <w:r w:rsidR="00BB5F7C">
        <w:rPr>
          <w:rFonts w:eastAsia="Times New Roman"/>
        </w:rPr>
        <w:t xml:space="preserve"> no gênero sem, contudo,</w:t>
      </w:r>
      <w:r>
        <w:rPr>
          <w:rFonts w:eastAsia="Times New Roman"/>
        </w:rPr>
        <w:t xml:space="preserve"> </w:t>
      </w:r>
      <w:r w:rsidR="006C1C80">
        <w:rPr>
          <w:rFonts w:eastAsia="Times New Roman"/>
        </w:rPr>
        <w:t xml:space="preserve">deixar de observar </w:t>
      </w:r>
      <w:r>
        <w:rPr>
          <w:rFonts w:eastAsia="Times New Roman"/>
        </w:rPr>
        <w:t xml:space="preserve">as disposições constantes nas Leis Infraconstitucionais e na Constituição Federal. </w:t>
      </w:r>
    </w:p>
    <w:p w14:paraId="00000042" w14:textId="77777777" w:rsidR="001C1913" w:rsidRDefault="00311307" w:rsidP="00456817">
      <w:pPr>
        <w:spacing w:line="360" w:lineRule="auto"/>
        <w:ind w:firstLine="720"/>
        <w:jc w:val="both"/>
        <w:rPr>
          <w:rFonts w:eastAsia="Times New Roman"/>
        </w:rPr>
      </w:pPr>
      <w:r>
        <w:rPr>
          <w:rFonts w:eastAsia="Times New Roman"/>
        </w:rPr>
        <w:t xml:space="preserve">Os Princípios da Igualdade e da Dignidade da Pessoa Humana possuem destaque no referido Protocolo, haja vista que há a disposição de que estes devem ser sempre observados, analisando a ação de forma assimétrica como resposta à obrigação constitucional de combater as desigualdades e garantir acesso à justiça, reconhecendo essas desigualdades históricas, garantindo assim a dignidade a todos. </w:t>
      </w:r>
    </w:p>
    <w:p w14:paraId="00000043" w14:textId="703F3D4C" w:rsidR="001C1913" w:rsidRDefault="00311307" w:rsidP="00456817">
      <w:pPr>
        <w:spacing w:after="240" w:line="360" w:lineRule="auto"/>
        <w:ind w:firstLine="720"/>
        <w:jc w:val="both"/>
        <w:rPr>
          <w:rFonts w:eastAsia="Times New Roman"/>
        </w:rPr>
      </w:pPr>
      <w:r>
        <w:rPr>
          <w:rFonts w:eastAsia="Times New Roman"/>
        </w:rPr>
        <w:t xml:space="preserve">Assim, no contexto dos alimentos compensatórios que aqui estão sendo analisados, o Protocolo do CNJ estabelece que a preocupação com a desigualdade de gênero não deve se ter somente apenas quanto ao julgamento, como também em questões processuais. Vejamos: </w:t>
      </w:r>
    </w:p>
    <w:p w14:paraId="00000044" w14:textId="1578F42D" w:rsidR="001C1913" w:rsidRDefault="00311307" w:rsidP="008F3BE8">
      <w:pPr>
        <w:spacing w:before="240" w:after="240"/>
        <w:ind w:left="2267"/>
        <w:jc w:val="both"/>
        <w:rPr>
          <w:rFonts w:eastAsia="Times New Roman"/>
          <w:sz w:val="20"/>
          <w:szCs w:val="20"/>
        </w:rPr>
      </w:pPr>
      <w:r>
        <w:rPr>
          <w:rFonts w:eastAsia="Times New Roman"/>
          <w:sz w:val="20"/>
          <w:szCs w:val="20"/>
        </w:rPr>
        <w:t>Uma atuação com perspectiva de gênero pressupõe uma atenção não apenas ao julgar, mas durante a tramitação processual. Diante de uma demora em uma decisão de mérito, dificuldades surgem especialmente para as mulheres, como ficar sem renda e sem ter acesso aos bens comuns, tendo ainda que arcar com todos os cu</w:t>
      </w:r>
      <w:r w:rsidR="00BB5F7C">
        <w:rPr>
          <w:rFonts w:eastAsia="Times New Roman"/>
          <w:sz w:val="20"/>
          <w:szCs w:val="20"/>
        </w:rPr>
        <w:t>idados dos filhos e das filhas. (</w:t>
      </w:r>
      <w:r w:rsidR="007B5E9B">
        <w:rPr>
          <w:rFonts w:eastAsia="Times New Roman"/>
          <w:sz w:val="20"/>
          <w:szCs w:val="20"/>
        </w:rPr>
        <w:t xml:space="preserve">CONSELHO NACIONAL DE JUSTIÇA, </w:t>
      </w:r>
      <w:r w:rsidR="00BF1487">
        <w:rPr>
          <w:rFonts w:eastAsia="Times New Roman"/>
          <w:sz w:val="20"/>
          <w:szCs w:val="20"/>
        </w:rPr>
        <w:t>2021, p.</w:t>
      </w:r>
      <w:r w:rsidR="007B5E9B">
        <w:rPr>
          <w:rFonts w:eastAsia="Times New Roman"/>
          <w:sz w:val="20"/>
          <w:szCs w:val="20"/>
        </w:rPr>
        <w:t xml:space="preserve"> </w:t>
      </w:r>
      <w:r w:rsidR="00BF1487">
        <w:rPr>
          <w:rFonts w:eastAsia="Times New Roman"/>
          <w:sz w:val="20"/>
          <w:szCs w:val="20"/>
        </w:rPr>
        <w:t>96</w:t>
      </w:r>
      <w:r w:rsidR="00BB5F7C">
        <w:rPr>
          <w:rFonts w:eastAsia="Times New Roman"/>
          <w:sz w:val="20"/>
          <w:szCs w:val="20"/>
        </w:rPr>
        <w:t>)</w:t>
      </w:r>
    </w:p>
    <w:p w14:paraId="00000045" w14:textId="3F69E0B3" w:rsidR="001C1913" w:rsidRDefault="00311307" w:rsidP="006A37A3">
      <w:pPr>
        <w:spacing w:before="240" w:line="360" w:lineRule="auto"/>
        <w:ind w:firstLine="720"/>
        <w:jc w:val="both"/>
        <w:rPr>
          <w:rFonts w:eastAsia="Times New Roman"/>
        </w:rPr>
      </w:pPr>
      <w:r>
        <w:rPr>
          <w:rFonts w:eastAsia="Times New Roman"/>
        </w:rPr>
        <w:t>Tal disposição se faz de suma importância para o julgamento dos processos de divórcio, principalmente no que tange o pedido de alimentos compensat</w:t>
      </w:r>
      <w:r w:rsidR="00BB5F7C">
        <w:rPr>
          <w:rFonts w:eastAsia="Times New Roman"/>
        </w:rPr>
        <w:t>órios, uma vez que estes tratam</w:t>
      </w:r>
      <w:r>
        <w:rPr>
          <w:rFonts w:eastAsia="Times New Roman"/>
        </w:rPr>
        <w:t xml:space="preserve"> da compensação econômica em razão do desequilíbrio financeiro surgido com a separação. </w:t>
      </w:r>
    </w:p>
    <w:p w14:paraId="00000046" w14:textId="7B41A890" w:rsidR="001C1913" w:rsidRDefault="007E4733" w:rsidP="00456817">
      <w:pPr>
        <w:spacing w:line="360" w:lineRule="auto"/>
        <w:ind w:firstLine="720"/>
        <w:jc w:val="both"/>
        <w:rPr>
          <w:rFonts w:eastAsia="Times New Roman"/>
        </w:rPr>
      </w:pPr>
      <w:r>
        <w:rPr>
          <w:rFonts w:eastAsia="Times New Roman"/>
        </w:rPr>
        <w:t xml:space="preserve">Assim, conforme preceitua </w:t>
      </w:r>
      <w:r w:rsidR="00890247">
        <w:rPr>
          <w:rFonts w:eastAsia="Times New Roman"/>
        </w:rPr>
        <w:t>Dias</w:t>
      </w:r>
      <w:r w:rsidR="00124993">
        <w:rPr>
          <w:rFonts w:eastAsia="Times New Roman"/>
        </w:rPr>
        <w:t xml:space="preserve"> e </w:t>
      </w:r>
      <w:proofErr w:type="spellStart"/>
      <w:r w:rsidR="00890247">
        <w:rPr>
          <w:rFonts w:eastAsia="Times New Roman"/>
        </w:rPr>
        <w:t>Russomanno</w:t>
      </w:r>
      <w:proofErr w:type="spellEnd"/>
      <w:r w:rsidR="00890247">
        <w:rPr>
          <w:rFonts w:eastAsia="Times New Roman"/>
        </w:rPr>
        <w:t xml:space="preserve"> (</w:t>
      </w:r>
      <w:r>
        <w:rPr>
          <w:rFonts w:eastAsia="Times New Roman"/>
        </w:rPr>
        <w:t>2014, p. 301)</w:t>
      </w:r>
      <w:r w:rsidR="00890247">
        <w:rPr>
          <w:rFonts w:eastAsia="Times New Roman"/>
        </w:rPr>
        <w:t xml:space="preserve"> </w:t>
      </w:r>
      <w:r w:rsidR="00311307">
        <w:rPr>
          <w:rFonts w:eastAsia="Times New Roman"/>
        </w:rPr>
        <w:t>os alimentos compensatórios estão ligados à perda de uma chance</w:t>
      </w:r>
      <w:r>
        <w:rPr>
          <w:rFonts w:eastAsia="Times New Roman"/>
        </w:rPr>
        <w:t>, h</w:t>
      </w:r>
      <w:r w:rsidR="00311307">
        <w:rPr>
          <w:rFonts w:eastAsia="Times New Roman"/>
        </w:rPr>
        <w:t xml:space="preserve">aja vista que a mulher deixa de viver os seus planos pessoais e profissionais, para se dedicar inteiramente à família. </w:t>
      </w:r>
    </w:p>
    <w:p w14:paraId="00000047" w14:textId="77777777" w:rsidR="001C1913" w:rsidRDefault="00311307" w:rsidP="006A37A3">
      <w:pPr>
        <w:spacing w:line="360" w:lineRule="auto"/>
        <w:ind w:firstLine="720"/>
        <w:jc w:val="both"/>
        <w:rPr>
          <w:rFonts w:eastAsia="Times New Roman"/>
        </w:rPr>
      </w:pPr>
      <w:r>
        <w:rPr>
          <w:rFonts w:eastAsia="Times New Roman"/>
        </w:rPr>
        <w:lastRenderedPageBreak/>
        <w:t xml:space="preserve">Desse modo, embora não seja necessário a demonstração da necessidade, isso não afasta a urgência no julgamento de tal pedido, tendo em vista que uma vez que a separação de corpos do casal, já surge a queda no padrão financeiro da mulher. </w:t>
      </w:r>
    </w:p>
    <w:p w14:paraId="00000048" w14:textId="77777777" w:rsidR="001C1913" w:rsidRDefault="00311307" w:rsidP="00456817">
      <w:pPr>
        <w:spacing w:line="360" w:lineRule="auto"/>
        <w:ind w:firstLine="720"/>
        <w:jc w:val="both"/>
        <w:rPr>
          <w:rFonts w:eastAsia="Times New Roman"/>
        </w:rPr>
      </w:pPr>
      <w:r>
        <w:rPr>
          <w:rFonts w:eastAsia="Times New Roman"/>
        </w:rPr>
        <w:t xml:space="preserve">Assim, é necessária a urgência no julgamento da ação de divórcio cumulada com pedido de alimentos compensatórios. </w:t>
      </w:r>
    </w:p>
    <w:p w14:paraId="00000049" w14:textId="4A5F1E0E" w:rsidR="001C1913" w:rsidRDefault="00311307" w:rsidP="00456817">
      <w:pPr>
        <w:spacing w:line="360" w:lineRule="auto"/>
        <w:ind w:firstLine="720"/>
        <w:jc w:val="both"/>
        <w:rPr>
          <w:rFonts w:eastAsia="Times New Roman"/>
        </w:rPr>
      </w:pPr>
      <w:r>
        <w:rPr>
          <w:rFonts w:eastAsia="Times New Roman"/>
        </w:rPr>
        <w:t>Em suma, o Protocolo de Julga</w:t>
      </w:r>
      <w:r w:rsidR="00786BB6">
        <w:rPr>
          <w:rFonts w:eastAsia="Times New Roman"/>
        </w:rPr>
        <w:t>mento com Perspectiva de Gênero</w:t>
      </w:r>
      <w:r>
        <w:rPr>
          <w:rFonts w:eastAsia="Times New Roman"/>
        </w:rPr>
        <w:t xml:space="preserve"> foi um instrumento essencial para combate da desigualdade de gênero, principalmente no judiciário, que é o local no qual se busca o cumprimento dos direitos, tendo o dever de garantir um julgamento justo a todas as pessoas. </w:t>
      </w:r>
    </w:p>
    <w:p w14:paraId="0000004A" w14:textId="77777777" w:rsidR="001C1913" w:rsidRDefault="00311307" w:rsidP="00456817">
      <w:pPr>
        <w:spacing w:after="240" w:line="360" w:lineRule="auto"/>
        <w:ind w:firstLine="720"/>
        <w:jc w:val="both"/>
        <w:rPr>
          <w:rFonts w:eastAsia="Times New Roman"/>
        </w:rPr>
      </w:pPr>
      <w:r>
        <w:rPr>
          <w:rFonts w:eastAsia="Times New Roman"/>
        </w:rPr>
        <w:t>Tal documento, representa grande avanço à proteção dos direitos das mulheres por voltar a atenção da magistratura nacional acerca dos temas que vêm sendo discutidos recentemente pelos movimentos feministas, que necessitam de incorporação aos procedimentos de julgamento no judiciário do Brasil.</w:t>
      </w:r>
    </w:p>
    <w:p w14:paraId="1B9E3600" w14:textId="466A09A3" w:rsidR="006E641C" w:rsidRPr="004F6096" w:rsidRDefault="00311307" w:rsidP="004F6096">
      <w:pPr>
        <w:numPr>
          <w:ilvl w:val="0"/>
          <w:numId w:val="1"/>
        </w:numPr>
        <w:spacing w:before="240" w:line="360" w:lineRule="auto"/>
        <w:rPr>
          <w:rFonts w:eastAsia="Times New Roman"/>
          <w:b/>
        </w:rPr>
      </w:pPr>
      <w:r>
        <w:rPr>
          <w:rFonts w:eastAsia="Times New Roman"/>
          <w:b/>
        </w:rPr>
        <w:t>DAS DECISÕES PROCESSUAIS E DA TUTELA ANTECIPADA</w:t>
      </w:r>
    </w:p>
    <w:p w14:paraId="0000004C" w14:textId="47C64051" w:rsidR="001C1913" w:rsidRDefault="00311307" w:rsidP="006E641C">
      <w:pPr>
        <w:spacing w:line="360" w:lineRule="auto"/>
        <w:ind w:firstLine="709"/>
        <w:jc w:val="both"/>
        <w:rPr>
          <w:rFonts w:eastAsia="Times New Roman"/>
        </w:rPr>
      </w:pPr>
      <w:r>
        <w:rPr>
          <w:rFonts w:eastAsia="Times New Roman"/>
        </w:rPr>
        <w:t>Levando em consideração que o presente trabalho se presta a analisar o momento adequado para a fixação dos alimentos compensatórios, se faz necessário abordar as d</w:t>
      </w:r>
      <w:r w:rsidR="00FB199D">
        <w:rPr>
          <w:rFonts w:eastAsia="Times New Roman"/>
        </w:rPr>
        <w:t xml:space="preserve">ecisões processuais, que são </w:t>
      </w:r>
      <w:r>
        <w:rPr>
          <w:rFonts w:eastAsia="Times New Roman"/>
        </w:rPr>
        <w:t xml:space="preserve">formas de pronunciamento e comunicação entre o juiz e as partes. </w:t>
      </w:r>
    </w:p>
    <w:p w14:paraId="0000004D" w14:textId="77777777" w:rsidR="001C1913" w:rsidRDefault="00311307" w:rsidP="006A37A3">
      <w:pPr>
        <w:spacing w:line="360" w:lineRule="auto"/>
        <w:jc w:val="both"/>
        <w:rPr>
          <w:rFonts w:eastAsia="Times New Roman"/>
        </w:rPr>
      </w:pPr>
      <w:r>
        <w:rPr>
          <w:rFonts w:eastAsia="Times New Roman"/>
        </w:rPr>
        <w:tab/>
        <w:t xml:space="preserve">Isso pois, o objetivo aqui é analisar a viabilidade da fixação dos alimentos compensatórios como tutela antecipada, ou se há outro momento mais conveniente para tanto. Por isso, será realizada uma breve leitura sobre os tipos de decisão no processo civil, o que se faz nos tópicos seguintes. </w:t>
      </w:r>
    </w:p>
    <w:p w14:paraId="0000004E" w14:textId="24BEB6C6" w:rsidR="001C1913" w:rsidRDefault="00311307" w:rsidP="006A37A3">
      <w:pPr>
        <w:spacing w:line="360" w:lineRule="auto"/>
        <w:jc w:val="both"/>
        <w:rPr>
          <w:rFonts w:eastAsia="Times New Roman"/>
        </w:rPr>
      </w:pPr>
      <w:r>
        <w:rPr>
          <w:rFonts w:eastAsia="Times New Roman"/>
        </w:rPr>
        <w:tab/>
        <w:t>Os pronunciamentos do juiz no processo estão elencados no artigo 203 do Código de Processo Civil</w:t>
      </w:r>
      <w:r w:rsidR="00FB199D">
        <w:rPr>
          <w:rFonts w:eastAsia="Times New Roman"/>
        </w:rPr>
        <w:t xml:space="preserve"> (BRASIL, 2015)</w:t>
      </w:r>
      <w:r>
        <w:rPr>
          <w:rFonts w:eastAsia="Times New Roman"/>
        </w:rPr>
        <w:t xml:space="preserve">, e se constituem pelas sentenças, decisões interlocutórias e despachos. </w:t>
      </w:r>
    </w:p>
    <w:p w14:paraId="0000004F" w14:textId="0C41CAC4" w:rsidR="001C1913" w:rsidRDefault="00311307" w:rsidP="006A37A3">
      <w:pPr>
        <w:spacing w:line="360" w:lineRule="auto"/>
        <w:jc w:val="both"/>
        <w:rPr>
          <w:rFonts w:eastAsia="Times New Roman"/>
        </w:rPr>
      </w:pPr>
      <w:r>
        <w:rPr>
          <w:rFonts w:eastAsia="Times New Roman"/>
        </w:rPr>
        <w:tab/>
        <w:t>Sob a redação do</w:t>
      </w:r>
      <w:r w:rsidR="001F3BEB">
        <w:rPr>
          <w:rFonts w:eastAsia="Times New Roman"/>
        </w:rPr>
        <w:t xml:space="preserve"> </w:t>
      </w:r>
      <w:r w:rsidR="004D1BA8">
        <w:rPr>
          <w:rFonts w:eastAsia="Times New Roman"/>
        </w:rPr>
        <w:t xml:space="preserve">art. 203, </w:t>
      </w:r>
      <w:r w:rsidR="001F3BEB">
        <w:rPr>
          <w:rFonts w:eastAsia="Times New Roman"/>
        </w:rPr>
        <w:t xml:space="preserve">§1º do </w:t>
      </w:r>
      <w:r>
        <w:rPr>
          <w:rFonts w:eastAsia="Times New Roman"/>
        </w:rPr>
        <w:t>diploma legal, a sentenç</w:t>
      </w:r>
      <w:r w:rsidR="00BB5F7C">
        <w:rPr>
          <w:rFonts w:eastAsia="Times New Roman"/>
        </w:rPr>
        <w:t xml:space="preserve">a é </w:t>
      </w:r>
      <w:r>
        <w:rPr>
          <w:rFonts w:eastAsia="Times New Roman"/>
        </w:rPr>
        <w:t>o pronunciamento por meio do qual o juiz</w:t>
      </w:r>
      <w:r w:rsidR="006C39DD">
        <w:rPr>
          <w:rFonts w:eastAsia="Times New Roman"/>
        </w:rPr>
        <w:t xml:space="preserve"> [...] </w:t>
      </w:r>
      <w:r>
        <w:rPr>
          <w:rFonts w:eastAsia="Times New Roman"/>
        </w:rPr>
        <w:t>põe fim à fase cognitiva do procedimento comu</w:t>
      </w:r>
      <w:r w:rsidR="00BB5F7C">
        <w:rPr>
          <w:rFonts w:eastAsia="Times New Roman"/>
        </w:rPr>
        <w:t>m, bem como extingue a execução. D</w:t>
      </w:r>
      <w:r>
        <w:rPr>
          <w:rFonts w:eastAsia="Times New Roman"/>
        </w:rPr>
        <w:t xml:space="preserve">essa forma, a sentença é a última decisão no processo, por meio do qual o juiz resolve todas as questões de mérito do processo. </w:t>
      </w:r>
    </w:p>
    <w:p w14:paraId="00000050" w14:textId="1180E23E" w:rsidR="001C1913" w:rsidRDefault="00311307" w:rsidP="006A37A3">
      <w:pPr>
        <w:spacing w:line="360" w:lineRule="auto"/>
        <w:jc w:val="both"/>
        <w:rPr>
          <w:rFonts w:eastAsia="Times New Roman"/>
        </w:rPr>
      </w:pPr>
      <w:r>
        <w:rPr>
          <w:rFonts w:eastAsia="Times New Roman"/>
        </w:rPr>
        <w:tab/>
        <w:t>J</w:t>
      </w:r>
      <w:r w:rsidR="006C39DD">
        <w:rPr>
          <w:rFonts w:eastAsia="Times New Roman"/>
        </w:rPr>
        <w:t xml:space="preserve">á a </w:t>
      </w:r>
      <w:r w:rsidR="004D1BA8">
        <w:rPr>
          <w:rFonts w:eastAsia="Times New Roman"/>
        </w:rPr>
        <w:t>decisão</w:t>
      </w:r>
      <w:r w:rsidR="006C39DD">
        <w:rPr>
          <w:rFonts w:eastAsia="Times New Roman"/>
        </w:rPr>
        <w:t xml:space="preserve"> interlocutória</w:t>
      </w:r>
      <w:r>
        <w:rPr>
          <w:rFonts w:eastAsia="Times New Roman"/>
        </w:rPr>
        <w:t xml:space="preserve">, segundo o </w:t>
      </w:r>
      <w:r w:rsidR="004D1BA8">
        <w:rPr>
          <w:rFonts w:eastAsia="Times New Roman"/>
        </w:rPr>
        <w:t xml:space="preserve">art. 203, </w:t>
      </w:r>
      <w:r>
        <w:rPr>
          <w:rFonts w:eastAsia="Times New Roman"/>
        </w:rPr>
        <w:t>§2º do</w:t>
      </w:r>
      <w:r w:rsidR="00BB5F7C">
        <w:rPr>
          <w:rFonts w:eastAsia="Times New Roman"/>
        </w:rPr>
        <w:t xml:space="preserve"> dispositivo legal supracitado </w:t>
      </w:r>
      <w:r w:rsidR="006C39DD">
        <w:rPr>
          <w:rFonts w:eastAsia="Times New Roman"/>
        </w:rPr>
        <w:t xml:space="preserve">é </w:t>
      </w:r>
      <w:r>
        <w:rPr>
          <w:rFonts w:eastAsia="Times New Roman"/>
        </w:rPr>
        <w:t>todo</w:t>
      </w:r>
      <w:r w:rsidR="006C39DD">
        <w:rPr>
          <w:rFonts w:eastAsia="Times New Roman"/>
        </w:rPr>
        <w:t xml:space="preserve"> </w:t>
      </w:r>
      <w:r>
        <w:rPr>
          <w:rFonts w:eastAsia="Times New Roman"/>
        </w:rPr>
        <w:t>pronunciamento</w:t>
      </w:r>
      <w:r w:rsidR="006C39DD">
        <w:rPr>
          <w:rFonts w:eastAsia="Times New Roman"/>
        </w:rPr>
        <w:t xml:space="preserve"> judicial</w:t>
      </w:r>
      <w:r>
        <w:rPr>
          <w:rFonts w:eastAsia="Times New Roman"/>
        </w:rPr>
        <w:t xml:space="preserve"> de natureza decisó</w:t>
      </w:r>
      <w:r w:rsidR="006C39DD">
        <w:rPr>
          <w:rFonts w:eastAsia="Times New Roman"/>
        </w:rPr>
        <w:t xml:space="preserve">ria que não se enquadre no </w:t>
      </w:r>
      <w:r w:rsidR="004D1BA8">
        <w:rPr>
          <w:rFonts w:eastAsia="Times New Roman"/>
        </w:rPr>
        <w:t xml:space="preserve">art. 203, </w:t>
      </w:r>
      <w:r w:rsidR="006C39DD">
        <w:rPr>
          <w:rFonts w:eastAsia="Times New Roman"/>
        </w:rPr>
        <w:t>§ 1º</w:t>
      </w:r>
      <w:r>
        <w:rPr>
          <w:rFonts w:eastAsia="Times New Roman"/>
        </w:rPr>
        <w:t xml:space="preserve">, ou seja, toda decisão que não se enquadre no conceito de sentença, sendo as decisões que não resolvem o mérito, durante o decorrer do processo. </w:t>
      </w:r>
    </w:p>
    <w:p w14:paraId="00000051" w14:textId="1F69A1EA" w:rsidR="001C1913" w:rsidRDefault="00311307" w:rsidP="006A37A3">
      <w:pPr>
        <w:spacing w:line="360" w:lineRule="auto"/>
        <w:jc w:val="both"/>
        <w:rPr>
          <w:rFonts w:eastAsia="Times New Roman"/>
        </w:rPr>
      </w:pPr>
      <w:r>
        <w:rPr>
          <w:rFonts w:eastAsia="Times New Roman"/>
        </w:rPr>
        <w:lastRenderedPageBreak/>
        <w:tab/>
        <w:t>No que tange os despacho</w:t>
      </w:r>
      <w:r w:rsidR="00BB5F7C">
        <w:rPr>
          <w:rFonts w:eastAsia="Times New Roman"/>
        </w:rPr>
        <w:t xml:space="preserve">s, estes são conceituados </w:t>
      </w:r>
      <w:r w:rsidR="004D1BA8">
        <w:rPr>
          <w:rFonts w:eastAsia="Times New Roman"/>
        </w:rPr>
        <w:t xml:space="preserve">pelo art. 203, </w:t>
      </w:r>
      <w:r w:rsidR="003F62B0">
        <w:rPr>
          <w:rFonts w:eastAsia="Times New Roman"/>
        </w:rPr>
        <w:t xml:space="preserve">§3º </w:t>
      </w:r>
      <w:r w:rsidR="00BB5F7C">
        <w:rPr>
          <w:rFonts w:eastAsia="Times New Roman"/>
        </w:rPr>
        <w:t xml:space="preserve">como </w:t>
      </w:r>
      <w:r>
        <w:rPr>
          <w:rFonts w:eastAsia="Times New Roman"/>
        </w:rPr>
        <w:t>todos os demais pronunciamentos do juiz praticados no processo, de ofíc</w:t>
      </w:r>
      <w:r w:rsidR="00BB5F7C">
        <w:rPr>
          <w:rFonts w:eastAsia="Times New Roman"/>
        </w:rPr>
        <w:t>io ou a requerimento da parte. P</w:t>
      </w:r>
      <w:r>
        <w:rPr>
          <w:rFonts w:eastAsia="Times New Roman"/>
        </w:rPr>
        <w:t xml:space="preserve">or este motivo não serão analisados no presente trabalho, uma vez que não resolvem a matéria principal aqui abordada. </w:t>
      </w:r>
    </w:p>
    <w:p w14:paraId="00000052" w14:textId="77777777" w:rsidR="001C1913" w:rsidRDefault="00311307" w:rsidP="00456817">
      <w:pPr>
        <w:spacing w:after="240" w:line="360" w:lineRule="auto"/>
        <w:jc w:val="both"/>
        <w:rPr>
          <w:rFonts w:eastAsia="Times New Roman"/>
        </w:rPr>
      </w:pPr>
      <w:r>
        <w:rPr>
          <w:rFonts w:eastAsia="Times New Roman"/>
        </w:rPr>
        <w:tab/>
        <w:t xml:space="preserve">Assim, passa-se a análise detalhada das decisões no processo, a fim de avaliar o momento para a fixação dos alimentos compensatórios. </w:t>
      </w:r>
    </w:p>
    <w:p w14:paraId="0ACE41AF" w14:textId="4A27032D" w:rsidR="00E56DB6" w:rsidRDefault="00311307" w:rsidP="00E56DB6">
      <w:pPr>
        <w:spacing w:before="240" w:after="240" w:line="360" w:lineRule="auto"/>
        <w:rPr>
          <w:rFonts w:eastAsia="Times New Roman"/>
          <w:b/>
        </w:rPr>
      </w:pPr>
      <w:r>
        <w:rPr>
          <w:rFonts w:eastAsia="Times New Roman"/>
          <w:b/>
        </w:rPr>
        <w:t>4.1. DECISÕES INTERLOCUTÓRIAS/ LIMINARES</w:t>
      </w:r>
    </w:p>
    <w:p w14:paraId="00000054" w14:textId="7CA5E7E6" w:rsidR="001C1913" w:rsidRDefault="00311307" w:rsidP="006A37A3">
      <w:pPr>
        <w:spacing w:before="240" w:line="360" w:lineRule="auto"/>
        <w:jc w:val="both"/>
        <w:rPr>
          <w:rFonts w:eastAsia="Times New Roman"/>
        </w:rPr>
      </w:pPr>
      <w:r>
        <w:rPr>
          <w:rFonts w:eastAsia="Times New Roman"/>
        </w:rPr>
        <w:tab/>
        <w:t xml:space="preserve">Conforme dito, as decisões interlocutórias são aquelas por meio das quais o juiz se pronuncia de forma decisória, sem pôr fim ao processo, diferindo-se assim da sentença. Dentro das decisões interlocutórias, estão aquelas que chamamos de Decisões Liminares, que </w:t>
      </w:r>
      <w:r w:rsidR="004740BE">
        <w:rPr>
          <w:rFonts w:eastAsia="Times New Roman"/>
        </w:rPr>
        <w:t>se tratam</w:t>
      </w:r>
      <w:r>
        <w:rPr>
          <w:rFonts w:eastAsia="Times New Roman"/>
        </w:rPr>
        <w:t xml:space="preserve"> da primeira decisão do magistrado no processo, que analisam os pedidos de tutela antecipada. </w:t>
      </w:r>
    </w:p>
    <w:p w14:paraId="00000055" w14:textId="77777777" w:rsidR="001C1913" w:rsidRDefault="00311307" w:rsidP="006A37A3">
      <w:pPr>
        <w:spacing w:line="360" w:lineRule="auto"/>
        <w:jc w:val="both"/>
        <w:rPr>
          <w:rFonts w:eastAsia="Times New Roman"/>
        </w:rPr>
      </w:pPr>
      <w:r>
        <w:rPr>
          <w:rFonts w:eastAsia="Times New Roman"/>
        </w:rPr>
        <w:tab/>
        <w:t xml:space="preserve">O Código de Processo Civil destina um de seus capítulos às Tutelas Provisórias, que podem ser Tutela Provisória de Urgência (Cautelar e Antecipada) ou Tutela de Evidência. Sendo a Tutela Provisória de Urgência aquela fundada no </w:t>
      </w:r>
      <w:r>
        <w:rPr>
          <w:rFonts w:eastAsia="Times New Roman"/>
          <w:i/>
        </w:rPr>
        <w:t>fumus boni iuris</w:t>
      </w:r>
      <w:r>
        <w:rPr>
          <w:rFonts w:eastAsia="Times New Roman"/>
        </w:rPr>
        <w:t xml:space="preserve"> e no </w:t>
      </w:r>
      <w:r>
        <w:rPr>
          <w:rFonts w:eastAsia="Times New Roman"/>
          <w:i/>
        </w:rPr>
        <w:t>periculum in</w:t>
      </w:r>
      <w:r>
        <w:rPr>
          <w:rFonts w:eastAsia="Times New Roman"/>
        </w:rPr>
        <w:t xml:space="preserve"> </w:t>
      </w:r>
      <w:r>
        <w:rPr>
          <w:rFonts w:eastAsia="Times New Roman"/>
          <w:i/>
        </w:rPr>
        <w:t>mora</w:t>
      </w:r>
      <w:r>
        <w:rPr>
          <w:rFonts w:eastAsia="Times New Roman"/>
        </w:rPr>
        <w:t xml:space="preserve">, assim, para serem concedidas necessitam da demonstração da probabilidade do direito, e do perigo de dano ou risco ao resultado útil do processo. </w:t>
      </w:r>
    </w:p>
    <w:p w14:paraId="00000056" w14:textId="70750838" w:rsidR="001C1913" w:rsidRDefault="00311307" w:rsidP="006A37A3">
      <w:pPr>
        <w:spacing w:line="360" w:lineRule="auto"/>
        <w:jc w:val="both"/>
        <w:rPr>
          <w:rFonts w:eastAsia="Times New Roman"/>
        </w:rPr>
      </w:pPr>
      <w:r>
        <w:rPr>
          <w:rFonts w:eastAsia="Times New Roman"/>
        </w:rPr>
        <w:tab/>
        <w:t>Já a Tutela Provisória de Evidência independe da demonstração de pe</w:t>
      </w:r>
      <w:r w:rsidR="00B97D05">
        <w:rPr>
          <w:rFonts w:eastAsia="Times New Roman"/>
        </w:rPr>
        <w:t xml:space="preserve">rigo de dano, bastando apenas </w:t>
      </w:r>
      <w:r>
        <w:rPr>
          <w:rFonts w:eastAsia="Times New Roman"/>
        </w:rPr>
        <w:t>comprovação concreta e inequívoca do direito da parte, ou seja, quando houver liquidez e certeza do direito material da parte.</w:t>
      </w:r>
    </w:p>
    <w:p w14:paraId="00000057" w14:textId="087CBCF2" w:rsidR="001C1913" w:rsidRDefault="00311307" w:rsidP="006A37A3">
      <w:pPr>
        <w:spacing w:line="360" w:lineRule="auto"/>
        <w:jc w:val="both"/>
        <w:rPr>
          <w:rFonts w:eastAsia="Times New Roman"/>
        </w:rPr>
      </w:pPr>
      <w:r>
        <w:rPr>
          <w:rFonts w:eastAsia="Times New Roman"/>
        </w:rPr>
        <w:tab/>
        <w:t>Diante disso, o questionamento q</w:t>
      </w:r>
      <w:r w:rsidR="00BB5F7C">
        <w:rPr>
          <w:rFonts w:eastAsia="Times New Roman"/>
        </w:rPr>
        <w:t xml:space="preserve">ue permeia o presente trabalho </w:t>
      </w:r>
      <w:r>
        <w:rPr>
          <w:rFonts w:eastAsia="Times New Roman"/>
        </w:rPr>
        <w:t xml:space="preserve">é acerca da possibilidade da concessão dos alimentos compensatórios como medida liminar, abordadas nas tutelas provisórias, ou se esse instituto somente pode ser fixado ao final do processo com a sentença que julga todo o mérito da demanda processual. </w:t>
      </w:r>
    </w:p>
    <w:p w14:paraId="00000058" w14:textId="794727C0" w:rsidR="001C1913" w:rsidRDefault="00311307" w:rsidP="006A37A3">
      <w:pPr>
        <w:spacing w:line="360" w:lineRule="auto"/>
        <w:jc w:val="both"/>
        <w:rPr>
          <w:rFonts w:eastAsia="Times New Roman"/>
        </w:rPr>
      </w:pPr>
      <w:r>
        <w:rPr>
          <w:rFonts w:eastAsia="Times New Roman"/>
        </w:rPr>
        <w:tab/>
        <w:t>Analisando os institutos das Tutelas Provisórias de Urgência, entende-se que uma vez que necessária a demonstração dos três requisitos anteriormente mencionados, quando estas se fundarem no pedido de alimentos compensatórios para a mulher, é preciso que esta comprove a existência do desequilíbrio financeiro (probabilidade do direito), bem como evidenci</w:t>
      </w:r>
      <w:r w:rsidR="004740BE">
        <w:rPr>
          <w:rFonts w:eastAsia="Times New Roman"/>
        </w:rPr>
        <w:t>e</w:t>
      </w:r>
      <w:r>
        <w:rPr>
          <w:rFonts w:eastAsia="Times New Roman"/>
        </w:rPr>
        <w:t xml:space="preserve"> o seu prejuízo caso aquele direito não lhe seja concedido de imediato (perigo de dano). </w:t>
      </w:r>
    </w:p>
    <w:p w14:paraId="00000059" w14:textId="362B9EC6" w:rsidR="001C1913" w:rsidRDefault="00BB5F7C" w:rsidP="006A37A3">
      <w:pPr>
        <w:spacing w:line="360" w:lineRule="auto"/>
        <w:jc w:val="both"/>
        <w:rPr>
          <w:rFonts w:eastAsia="Times New Roman"/>
        </w:rPr>
      </w:pPr>
      <w:r>
        <w:rPr>
          <w:rFonts w:eastAsia="Times New Roman"/>
        </w:rPr>
        <w:tab/>
        <w:t>Dessa forma, a</w:t>
      </w:r>
      <w:r w:rsidR="00311307">
        <w:rPr>
          <w:rFonts w:eastAsia="Times New Roman"/>
        </w:rPr>
        <w:t xml:space="preserve"> mulher, no viés da Tutela de Urgência, deverá comprovar a dilapidação do patrimônio, a confusão patrimonial entre bens de empresas e bens comuns ao casal, entre outras estratégias de má-fé que possam ser praticadas pelo ex-marido/companheiro a fim de prejudicá-la na partilha de bens. </w:t>
      </w:r>
    </w:p>
    <w:p w14:paraId="0000005A" w14:textId="1C17FBD8" w:rsidR="001C1913" w:rsidRDefault="00311307" w:rsidP="006A37A3">
      <w:pPr>
        <w:spacing w:line="360" w:lineRule="auto"/>
        <w:jc w:val="both"/>
        <w:rPr>
          <w:rFonts w:eastAsia="Times New Roman"/>
        </w:rPr>
      </w:pPr>
      <w:r>
        <w:rPr>
          <w:rFonts w:eastAsia="Times New Roman"/>
        </w:rPr>
        <w:lastRenderedPageBreak/>
        <w:tab/>
        <w:t>Já quan</w:t>
      </w:r>
      <w:r w:rsidR="004740BE">
        <w:rPr>
          <w:rFonts w:eastAsia="Times New Roman"/>
        </w:rPr>
        <w:t>d</w:t>
      </w:r>
      <w:r>
        <w:rPr>
          <w:rFonts w:eastAsia="Times New Roman"/>
        </w:rPr>
        <w:t xml:space="preserve">o o pedido for baseado em uma tutela de evidência, basta que a mulher apresente documentação probatória bastante que demonstre seu direito para que sejam concedidos. </w:t>
      </w:r>
    </w:p>
    <w:p w14:paraId="0000005B" w14:textId="77777777" w:rsidR="001C1913" w:rsidRDefault="00311307" w:rsidP="006A37A3">
      <w:pPr>
        <w:spacing w:line="360" w:lineRule="auto"/>
        <w:jc w:val="both"/>
        <w:rPr>
          <w:rFonts w:eastAsia="Times New Roman"/>
        </w:rPr>
      </w:pPr>
      <w:r>
        <w:rPr>
          <w:rFonts w:eastAsia="Times New Roman"/>
        </w:rPr>
        <w:tab/>
        <w:t xml:space="preserve">Cabe destacar, quanto à comprovação do direito, sabe-se que o instituto dos alimentos compensatórios, conforme antedito no primeiro capítulo, é um conceito ainda apenas doutrinário, mas que vem ganhando espaço nas decisões por todo o país. </w:t>
      </w:r>
    </w:p>
    <w:p w14:paraId="0000005C" w14:textId="572F87F4" w:rsidR="001C1913" w:rsidRDefault="00311307" w:rsidP="006A37A3">
      <w:pPr>
        <w:spacing w:line="360" w:lineRule="auto"/>
        <w:jc w:val="both"/>
        <w:rPr>
          <w:rFonts w:eastAsia="Times New Roman"/>
          <w:sz w:val="20"/>
          <w:szCs w:val="20"/>
        </w:rPr>
      </w:pPr>
      <w:r>
        <w:rPr>
          <w:rFonts w:eastAsia="Times New Roman"/>
        </w:rPr>
        <w:tab/>
        <w:t>Segundo o doutrinador que introduziu os aliment</w:t>
      </w:r>
      <w:r w:rsidR="00C6551D">
        <w:rPr>
          <w:rFonts w:eastAsia="Times New Roman"/>
        </w:rPr>
        <w:t xml:space="preserve">os compensatórios no Brasil, esses </w:t>
      </w:r>
      <w:r>
        <w:rPr>
          <w:rFonts w:eastAsia="Times New Roman"/>
        </w:rPr>
        <w:t xml:space="preserve">podem ser fixados tanto na sentença quanto na decisão inicial do processo: </w:t>
      </w:r>
    </w:p>
    <w:p w14:paraId="0000005D" w14:textId="0852702F" w:rsidR="001C1913" w:rsidRDefault="00BB5F7C" w:rsidP="008F3BE8">
      <w:pPr>
        <w:spacing w:before="240" w:after="240"/>
        <w:ind w:left="2267"/>
        <w:jc w:val="both"/>
        <w:rPr>
          <w:rFonts w:eastAsia="Times New Roman"/>
          <w:sz w:val="20"/>
          <w:szCs w:val="20"/>
        </w:rPr>
      </w:pPr>
      <w:r>
        <w:rPr>
          <w:rFonts w:eastAsia="Times New Roman"/>
          <w:sz w:val="20"/>
          <w:szCs w:val="20"/>
        </w:rPr>
        <w:t>O</w:t>
      </w:r>
      <w:r w:rsidR="00311307">
        <w:rPr>
          <w:rFonts w:eastAsia="Times New Roman"/>
          <w:sz w:val="20"/>
          <w:szCs w:val="20"/>
        </w:rPr>
        <w:t xml:space="preserve">u podem surgir de uma sentença final ou de um despacho inicial de reconhecimento ao direito de um dos cônjuges ou companheiros pelo reconhecimento ou pela verificação de que o beneficiário desses alimentos compensatórios humanitários se encontra em incontestável situação de desequilíbrio econômico decorrente da ruptura </w:t>
      </w:r>
      <w:r>
        <w:rPr>
          <w:rFonts w:eastAsia="Times New Roman"/>
          <w:sz w:val="20"/>
          <w:szCs w:val="20"/>
        </w:rPr>
        <w:t>da relação afetiva de um</w:t>
      </w:r>
      <w:r w:rsidR="00BF1487">
        <w:rPr>
          <w:rFonts w:eastAsia="Times New Roman"/>
          <w:sz w:val="20"/>
          <w:szCs w:val="20"/>
        </w:rPr>
        <w:t xml:space="preserve"> casal. (MADALENO, 2024, p. 288)</w:t>
      </w:r>
    </w:p>
    <w:p w14:paraId="0000005F" w14:textId="3FABFC39" w:rsidR="001C1913" w:rsidRDefault="00311307" w:rsidP="00213139">
      <w:pPr>
        <w:spacing w:before="240" w:line="360" w:lineRule="auto"/>
        <w:ind w:firstLine="720"/>
        <w:jc w:val="both"/>
        <w:rPr>
          <w:rFonts w:eastAsia="Times New Roman"/>
        </w:rPr>
      </w:pPr>
      <w:r>
        <w:rPr>
          <w:rFonts w:eastAsia="Times New Roman"/>
        </w:rPr>
        <w:t xml:space="preserve">Em exame às jurisprudências do Tribunal de Justiça de Minas Gerais, percebe-se que a maioria não entende pela fixação dos alimentos compensatórios em sede liminar, tendo de dez decisões analisadas, somente duas concedido esse tipo de alimentos. Vejamos o compilado de algumas jurisprudências do TJMG: </w:t>
      </w:r>
    </w:p>
    <w:p w14:paraId="00000060" w14:textId="23EED77C" w:rsidR="001C1913" w:rsidRPr="008F3BE8" w:rsidRDefault="00311307" w:rsidP="008F3BE8">
      <w:pPr>
        <w:spacing w:before="240" w:after="240"/>
        <w:ind w:left="2267"/>
        <w:jc w:val="both"/>
        <w:rPr>
          <w:rFonts w:eastAsia="Times New Roman"/>
          <w:sz w:val="20"/>
          <w:szCs w:val="20"/>
          <w:highlight w:val="white"/>
        </w:rPr>
      </w:pPr>
      <w:r w:rsidRPr="008F3BE8">
        <w:rPr>
          <w:rFonts w:eastAsia="Times New Roman"/>
          <w:sz w:val="20"/>
          <w:szCs w:val="20"/>
          <w:highlight w:val="white"/>
        </w:rPr>
        <w:t xml:space="preserve">(...) Por este motivo, apesar de a Agravante alegar que desde junho de 2022 parou de trabalhar para se dedicar exclusivamente ao lar, e que sofreu grande abalo psicológico com o fim da relação, não vislumbro a possibilidade de concessão de alimentos neste caso. Não restou demonstrado que o Agravado administra os bens do casal de forma a desequilibrar a renda dos ex-cônjuges. Além disso, a Agravante é jovem e formada em curso superior, dispondo de condições para retornar ao mercado de trabalho, além de não ter apresentado qualquer prova no sentido de que </w:t>
      </w:r>
      <w:r w:rsidR="00394323">
        <w:rPr>
          <w:rFonts w:eastAsia="Times New Roman"/>
          <w:sz w:val="20"/>
          <w:szCs w:val="20"/>
          <w:highlight w:val="white"/>
        </w:rPr>
        <w:t>se tornou incapaz para laborar.</w:t>
      </w:r>
      <w:r w:rsidRPr="008F3BE8">
        <w:rPr>
          <w:rFonts w:eastAsia="Times New Roman"/>
          <w:sz w:val="20"/>
          <w:szCs w:val="20"/>
          <w:highlight w:val="white"/>
        </w:rPr>
        <w:t xml:space="preserve"> (TJMG -  Agravo de Instrumento-</w:t>
      </w:r>
      <w:proofErr w:type="gramStart"/>
      <w:r w:rsidRPr="008F3BE8">
        <w:rPr>
          <w:rFonts w:eastAsia="Times New Roman"/>
          <w:sz w:val="20"/>
          <w:szCs w:val="20"/>
          <w:highlight w:val="white"/>
        </w:rPr>
        <w:t>Cv  1.0000.23.282999</w:t>
      </w:r>
      <w:proofErr w:type="gramEnd"/>
      <w:r w:rsidRPr="008F3BE8">
        <w:rPr>
          <w:rFonts w:eastAsia="Times New Roman"/>
          <w:sz w:val="20"/>
          <w:szCs w:val="20"/>
          <w:highlight w:val="white"/>
        </w:rPr>
        <w:t>-4/001, Relator(a): Des.(a) Pedro Aleixo , 4ª Câmara Cível Especializada, julgamento em 31/10/2024, publicação da súmula em 01/11/2024)</w:t>
      </w:r>
    </w:p>
    <w:p w14:paraId="00000061" w14:textId="4E716AD9" w:rsidR="001C1913" w:rsidRPr="008F3BE8" w:rsidRDefault="00311307" w:rsidP="008F3BE8">
      <w:pPr>
        <w:spacing w:before="240" w:after="240"/>
        <w:ind w:left="2267"/>
        <w:jc w:val="both"/>
        <w:rPr>
          <w:rFonts w:eastAsia="Times New Roman"/>
          <w:sz w:val="20"/>
          <w:szCs w:val="20"/>
          <w:highlight w:val="white"/>
        </w:rPr>
      </w:pPr>
      <w:r w:rsidRPr="008F3BE8">
        <w:rPr>
          <w:rFonts w:eastAsia="Times New Roman"/>
          <w:sz w:val="20"/>
          <w:szCs w:val="20"/>
          <w:highlight w:val="white"/>
        </w:rPr>
        <w:t xml:space="preserve">Os alimentos compensatórios são valores devidos até que seja ultimada a partilha de bens do ex-casal, com o objetivo de permitir que o cônjuge que não tenha posse dos bens seja compensado. Nesse sentido, tem natureza indenizatória e, portanto, possui caráter excepcional, como já se pronunciou o Superior Tribunal de Justiça, (STJ - Recurso Especial n. 1.655.689 - Rel. Min. Paulo de Tarso Severino - j. em 12.12.2017 - </w:t>
      </w:r>
      <w:proofErr w:type="spellStart"/>
      <w:r w:rsidRPr="008F3BE8">
        <w:rPr>
          <w:rFonts w:eastAsia="Times New Roman"/>
          <w:sz w:val="20"/>
          <w:szCs w:val="20"/>
          <w:highlight w:val="white"/>
        </w:rPr>
        <w:t>DJe</w:t>
      </w:r>
      <w:proofErr w:type="spellEnd"/>
      <w:r w:rsidRPr="008F3BE8">
        <w:rPr>
          <w:rFonts w:eastAsia="Times New Roman"/>
          <w:sz w:val="20"/>
          <w:szCs w:val="20"/>
          <w:highlight w:val="white"/>
        </w:rPr>
        <w:t xml:space="preserve"> de 19.12.2017). Ocorre que, como narrado nas próprias razões recursais, a agravante é Oficial de Justiça "c" do TJMG, possuindo renda própria capaz de propiciar seu sustento. (....) Dito isso, não vislumbro razões no presente caso, para o fim de deferir o pedido pela parte agravan</w:t>
      </w:r>
      <w:r w:rsidR="00394323">
        <w:rPr>
          <w:rFonts w:eastAsia="Times New Roman"/>
          <w:sz w:val="20"/>
          <w:szCs w:val="20"/>
          <w:highlight w:val="white"/>
        </w:rPr>
        <w:t>te de alimentos compensatórios.</w:t>
      </w:r>
      <w:r w:rsidRPr="008F3BE8">
        <w:rPr>
          <w:rFonts w:eastAsia="Times New Roman"/>
          <w:sz w:val="20"/>
          <w:szCs w:val="20"/>
          <w:highlight w:val="white"/>
        </w:rPr>
        <w:t xml:space="preserve"> (TJMG -  Agravo de Instrumento-</w:t>
      </w:r>
      <w:proofErr w:type="gramStart"/>
      <w:r w:rsidRPr="008F3BE8">
        <w:rPr>
          <w:rFonts w:eastAsia="Times New Roman"/>
          <w:sz w:val="20"/>
          <w:szCs w:val="20"/>
          <w:highlight w:val="white"/>
        </w:rPr>
        <w:t>Cv  1.0000.23.321996</w:t>
      </w:r>
      <w:proofErr w:type="gramEnd"/>
      <w:r w:rsidRPr="008F3BE8">
        <w:rPr>
          <w:rFonts w:eastAsia="Times New Roman"/>
          <w:sz w:val="20"/>
          <w:szCs w:val="20"/>
          <w:highlight w:val="white"/>
        </w:rPr>
        <w:t xml:space="preserve">-3/002, Relator(a): Des.(a) </w:t>
      </w:r>
      <w:proofErr w:type="spellStart"/>
      <w:r w:rsidRPr="008F3BE8">
        <w:rPr>
          <w:rFonts w:eastAsia="Times New Roman"/>
          <w:sz w:val="20"/>
          <w:szCs w:val="20"/>
          <w:highlight w:val="white"/>
        </w:rPr>
        <w:t>Élito</w:t>
      </w:r>
      <w:proofErr w:type="spellEnd"/>
      <w:r w:rsidRPr="008F3BE8">
        <w:rPr>
          <w:rFonts w:eastAsia="Times New Roman"/>
          <w:sz w:val="20"/>
          <w:szCs w:val="20"/>
          <w:highlight w:val="white"/>
        </w:rPr>
        <w:t xml:space="preserve"> Batista de Almeida (JD 2G) , Câmara Justiça 4.0 - </w:t>
      </w:r>
      <w:proofErr w:type="spellStart"/>
      <w:r w:rsidRPr="008F3BE8">
        <w:rPr>
          <w:rFonts w:eastAsia="Times New Roman"/>
          <w:sz w:val="20"/>
          <w:szCs w:val="20"/>
          <w:highlight w:val="white"/>
        </w:rPr>
        <w:t>Especiali</w:t>
      </w:r>
      <w:proofErr w:type="spellEnd"/>
      <w:r w:rsidRPr="008F3BE8">
        <w:rPr>
          <w:rFonts w:eastAsia="Times New Roman"/>
          <w:sz w:val="20"/>
          <w:szCs w:val="20"/>
          <w:highlight w:val="white"/>
        </w:rPr>
        <w:t>, julgamento em 14/10/2024, publicação da súmula em 15/10/2024)</w:t>
      </w:r>
    </w:p>
    <w:p w14:paraId="00000062" w14:textId="6AC47B22" w:rsidR="001C1913" w:rsidRPr="008F3BE8" w:rsidRDefault="00311307" w:rsidP="008F3BE8">
      <w:pPr>
        <w:spacing w:before="240" w:after="240"/>
        <w:ind w:left="2267"/>
        <w:jc w:val="both"/>
        <w:rPr>
          <w:rFonts w:eastAsia="Times New Roman"/>
          <w:sz w:val="20"/>
          <w:szCs w:val="20"/>
          <w:highlight w:val="white"/>
        </w:rPr>
      </w:pPr>
      <w:r w:rsidRPr="008F3BE8">
        <w:rPr>
          <w:rFonts w:eastAsia="Times New Roman"/>
          <w:sz w:val="20"/>
          <w:szCs w:val="20"/>
          <w:highlight w:val="white"/>
        </w:rPr>
        <w:t xml:space="preserve">Dessa forma, estando agravante e virago na administração de bens do casal, mas gerando os bens administrados pelo agravante, ao que tudo indica, rendimentos superiores aos administrados pela virago, os alimentos compensatórios devem ser estabelecidos em 2 (dois) salários mínimos, o equivalente a R$ 2.824,00 (dois mil, oitocentos e vinte e quatro reais), o valor mais proporcional com a situação dos autos, por tempo indeterminado, porquanto deve persistir o pagamento enquanto persistir a administração exclusiva de bens do casal por parte do agravante. Com efeito, não há </w:t>
      </w:r>
      <w:r w:rsidRPr="008F3BE8">
        <w:rPr>
          <w:rFonts w:eastAsia="Times New Roman"/>
          <w:sz w:val="20"/>
          <w:szCs w:val="20"/>
          <w:highlight w:val="white"/>
        </w:rPr>
        <w:lastRenderedPageBreak/>
        <w:t>fundamento que sustente a colocação de termo nessa obrigação, porquanto o pagamento deve subsistir até a partilha ou até que cesse a administração exclusiva por parte do agravante, pois o argumento é justamente a administração exclusiva do patrimônio comum</w:t>
      </w:r>
      <w:r w:rsidR="00394323">
        <w:rPr>
          <w:rFonts w:eastAsia="Times New Roman"/>
          <w:sz w:val="20"/>
          <w:szCs w:val="20"/>
          <w:highlight w:val="white"/>
        </w:rPr>
        <w:t>, a ser partilhado, pelo varão.</w:t>
      </w:r>
      <w:r w:rsidRPr="008F3BE8">
        <w:rPr>
          <w:rFonts w:eastAsia="Times New Roman"/>
          <w:sz w:val="20"/>
          <w:szCs w:val="20"/>
          <w:highlight w:val="white"/>
        </w:rPr>
        <w:t xml:space="preserve"> (TJMG -  Agravo de Instrumento-</w:t>
      </w:r>
      <w:proofErr w:type="gramStart"/>
      <w:r w:rsidRPr="008F3BE8">
        <w:rPr>
          <w:rFonts w:eastAsia="Times New Roman"/>
          <w:sz w:val="20"/>
          <w:szCs w:val="20"/>
          <w:highlight w:val="white"/>
        </w:rPr>
        <w:t>Cv  1.0000.24.331539</w:t>
      </w:r>
      <w:proofErr w:type="gramEnd"/>
      <w:r w:rsidRPr="008F3BE8">
        <w:rPr>
          <w:rFonts w:eastAsia="Times New Roman"/>
          <w:sz w:val="20"/>
          <w:szCs w:val="20"/>
          <w:highlight w:val="white"/>
        </w:rPr>
        <w:t xml:space="preserve">-7/001, Relator(a): Des.(a) Francisco Ricardo Sales Costa (JD 2G) , Câmara Justiça 4.0 - </w:t>
      </w:r>
      <w:proofErr w:type="spellStart"/>
      <w:r w:rsidRPr="008F3BE8">
        <w:rPr>
          <w:rFonts w:eastAsia="Times New Roman"/>
          <w:sz w:val="20"/>
          <w:szCs w:val="20"/>
          <w:highlight w:val="white"/>
        </w:rPr>
        <w:t>Especiali</w:t>
      </w:r>
      <w:proofErr w:type="spellEnd"/>
      <w:r w:rsidRPr="008F3BE8">
        <w:rPr>
          <w:rFonts w:eastAsia="Times New Roman"/>
          <w:sz w:val="20"/>
          <w:szCs w:val="20"/>
          <w:highlight w:val="white"/>
        </w:rPr>
        <w:t>, julgamento em 11/10/2024, publicação da súmula em 14/10/2024)</w:t>
      </w:r>
    </w:p>
    <w:p w14:paraId="00000063" w14:textId="227FA0CD" w:rsidR="001C1913" w:rsidRDefault="00311307" w:rsidP="00DC388A">
      <w:pPr>
        <w:spacing w:before="240" w:line="360" w:lineRule="auto"/>
        <w:ind w:firstLine="720"/>
        <w:jc w:val="both"/>
        <w:rPr>
          <w:rFonts w:eastAsia="Times New Roman"/>
        </w:rPr>
      </w:pPr>
      <w:r>
        <w:rPr>
          <w:rFonts w:eastAsia="Times New Roman"/>
        </w:rPr>
        <w:t>Destaca-se que em todas as decisões analisadas a pessoa que requereu os a</w:t>
      </w:r>
      <w:r w:rsidR="00EF0108">
        <w:rPr>
          <w:rFonts w:eastAsia="Times New Roman"/>
        </w:rPr>
        <w:t xml:space="preserve">limentos compensatórios era </w:t>
      </w:r>
      <w:r>
        <w:rPr>
          <w:rFonts w:eastAsia="Times New Roman"/>
        </w:rPr>
        <w:t xml:space="preserve">mulher, que dedicou anos de sua vida exclusivamente ao matrimônio ou que o marido ficou com a administração e posse exclusiva dos bens comuns adquiridos no casamento. </w:t>
      </w:r>
    </w:p>
    <w:p w14:paraId="00000064" w14:textId="77777777" w:rsidR="001C1913" w:rsidRDefault="00311307" w:rsidP="00DC388A">
      <w:pPr>
        <w:spacing w:line="360" w:lineRule="auto"/>
        <w:ind w:firstLine="720"/>
        <w:jc w:val="both"/>
        <w:rPr>
          <w:rFonts w:eastAsia="Times New Roman"/>
        </w:rPr>
      </w:pPr>
      <w:r>
        <w:rPr>
          <w:rFonts w:eastAsia="Times New Roman"/>
        </w:rPr>
        <w:t xml:space="preserve">A maior parte das decisões analisadas tiveram como fundamentação o argumento de que não ficara demonstrado o desequilíbrio econômico em relação à mulher e seu cônjuge após a separação de fato. </w:t>
      </w:r>
    </w:p>
    <w:p w14:paraId="00000065" w14:textId="77777777" w:rsidR="001C1913" w:rsidRDefault="00311307" w:rsidP="00DC388A">
      <w:pPr>
        <w:spacing w:line="360" w:lineRule="auto"/>
        <w:ind w:firstLine="720"/>
        <w:jc w:val="both"/>
        <w:rPr>
          <w:rFonts w:eastAsia="Times New Roman"/>
        </w:rPr>
      </w:pPr>
      <w:r>
        <w:rPr>
          <w:rFonts w:eastAsia="Times New Roman"/>
        </w:rPr>
        <w:t xml:space="preserve">Foi possível perceber que alguns acórdãos acima citados, aduzem que embora o marido esteja na administração dos bens, o fato de a mulher possuir um cargo com boa remuneração ou formação superior, não é possível a condenação do cônjuge ao pagamento da indenização compensatória. </w:t>
      </w:r>
    </w:p>
    <w:p w14:paraId="00000066" w14:textId="47977EBF" w:rsidR="001C1913" w:rsidRDefault="00BB5F7C" w:rsidP="00DC388A">
      <w:pPr>
        <w:spacing w:line="360" w:lineRule="auto"/>
        <w:ind w:firstLine="720"/>
        <w:jc w:val="both"/>
        <w:rPr>
          <w:rFonts w:eastAsia="Times New Roman"/>
        </w:rPr>
      </w:pPr>
      <w:r>
        <w:rPr>
          <w:rFonts w:eastAsia="Times New Roman"/>
        </w:rPr>
        <w:t xml:space="preserve">Tal </w:t>
      </w:r>
      <w:r w:rsidR="00311307">
        <w:rPr>
          <w:rFonts w:eastAsia="Times New Roman"/>
        </w:rPr>
        <w:t>justificativa vai contra os conceitos dos alimentos compensatórios colocando-os na mesma seara dos alimentos convencionais, já que para a concessão do primeiro, não é preciso demonstrar a necessidade de quem os pede, sendo seu objetivo justamente a compensação em razão do ex-marido ficar na posse de maior parte dos bens.</w:t>
      </w:r>
    </w:p>
    <w:p w14:paraId="00000067" w14:textId="63763DDE" w:rsidR="001C1913" w:rsidRDefault="00311307" w:rsidP="00DC388A">
      <w:pPr>
        <w:spacing w:line="360" w:lineRule="auto"/>
        <w:ind w:firstLine="720"/>
        <w:jc w:val="both"/>
        <w:rPr>
          <w:rFonts w:eastAsia="Times New Roman"/>
        </w:rPr>
      </w:pPr>
      <w:r>
        <w:rPr>
          <w:rFonts w:eastAsia="Times New Roman"/>
        </w:rPr>
        <w:t>Ademais, não se vê a aplicação prática do Protocolo de Julgamento com Perspectiva de Gênero nas decisões examinadas, uma vez que as decisões não correspondem ao objetiv</w:t>
      </w:r>
      <w:r w:rsidR="00BB5F7C">
        <w:rPr>
          <w:rFonts w:eastAsia="Times New Roman"/>
        </w:rPr>
        <w:t xml:space="preserve">o do documento que é </w:t>
      </w:r>
      <w:r>
        <w:rPr>
          <w:rFonts w:eastAsia="Times New Roman"/>
        </w:rPr>
        <w:t xml:space="preserve">alcançar a superação dos percalços que impossibilita a percepção de uma igual dignidade entre mulheres </w:t>
      </w:r>
      <w:r w:rsidR="00BB5F7C">
        <w:rPr>
          <w:rFonts w:eastAsia="Times New Roman"/>
        </w:rPr>
        <w:t>e homens, em todos os cenários.</w:t>
      </w:r>
      <w:r>
        <w:rPr>
          <w:rFonts w:eastAsia="Times New Roman"/>
        </w:rPr>
        <w:t xml:space="preserve"> </w:t>
      </w:r>
    </w:p>
    <w:p w14:paraId="00000068" w14:textId="77777777" w:rsidR="001C1913" w:rsidRDefault="00311307" w:rsidP="00DC388A">
      <w:pPr>
        <w:spacing w:line="360" w:lineRule="auto"/>
        <w:ind w:firstLine="720"/>
        <w:jc w:val="both"/>
        <w:rPr>
          <w:rFonts w:eastAsia="Times New Roman"/>
        </w:rPr>
      </w:pPr>
      <w:r>
        <w:rPr>
          <w:rFonts w:eastAsia="Times New Roman"/>
        </w:rPr>
        <w:t>Lado outro, ao analisar o Banco de Jurisprudências de Protocolo de Julgamento com Perspectiva de Gênero, é possível verificar que existem alguns casos em que o pedido de alimentos compensatórios à mulher foi deferido em liminar.</w:t>
      </w:r>
    </w:p>
    <w:p w14:paraId="00000069" w14:textId="762FBE44" w:rsidR="001C1913" w:rsidRDefault="00311307" w:rsidP="00DC388A">
      <w:pPr>
        <w:spacing w:line="360" w:lineRule="auto"/>
        <w:ind w:firstLine="720"/>
        <w:jc w:val="both"/>
        <w:rPr>
          <w:rFonts w:eastAsia="Times New Roman"/>
        </w:rPr>
      </w:pPr>
      <w:r>
        <w:rPr>
          <w:rFonts w:eastAsia="Times New Roman"/>
        </w:rPr>
        <w:t xml:space="preserve">As decisões que constam do </w:t>
      </w:r>
      <w:r w:rsidR="00BB5F7C">
        <w:rPr>
          <w:rFonts w:eastAsia="Times New Roman"/>
        </w:rPr>
        <w:t>banco de jurisprudências do CNJ</w:t>
      </w:r>
      <w:r>
        <w:rPr>
          <w:rFonts w:eastAsia="Times New Roman"/>
        </w:rPr>
        <w:t xml:space="preserve"> justificam a concessão dos alimentos compensatórios reconhecendo que em casos em que a mulher se dedica exclusivamente ao casamento, e em que o marido é o único administrador dos bens após separação, a medida que se impõe é a fixação da indenização compensatória. </w:t>
      </w:r>
    </w:p>
    <w:p w14:paraId="0000006A" w14:textId="2DB25C96" w:rsidR="001C1913" w:rsidRDefault="00311307" w:rsidP="00DC388A">
      <w:pPr>
        <w:spacing w:line="360" w:lineRule="auto"/>
        <w:ind w:firstLine="720"/>
        <w:jc w:val="both"/>
        <w:rPr>
          <w:rFonts w:eastAsia="Times New Roman"/>
        </w:rPr>
      </w:pPr>
      <w:r>
        <w:rPr>
          <w:rFonts w:eastAsia="Times New Roman"/>
        </w:rPr>
        <w:t>Diante disso, surge a críti</w:t>
      </w:r>
      <w:r w:rsidR="00280B8C">
        <w:rPr>
          <w:rFonts w:eastAsia="Times New Roman"/>
        </w:rPr>
        <w:t xml:space="preserve">ca: será que realmente não há </w:t>
      </w:r>
      <w:r>
        <w:rPr>
          <w:rFonts w:eastAsia="Times New Roman"/>
        </w:rPr>
        <w:t xml:space="preserve">demonstração dos requisitos </w:t>
      </w:r>
      <w:r w:rsidR="00280B8C">
        <w:rPr>
          <w:rFonts w:eastAsia="Times New Roman"/>
        </w:rPr>
        <w:t xml:space="preserve">necessários para </w:t>
      </w:r>
      <w:r>
        <w:rPr>
          <w:rFonts w:eastAsia="Times New Roman"/>
        </w:rPr>
        <w:t xml:space="preserve">antecipação das tutelas ou o julgamento é pautado no patriarcado enraizado no </w:t>
      </w:r>
      <w:r>
        <w:rPr>
          <w:rFonts w:eastAsia="Times New Roman"/>
        </w:rPr>
        <w:lastRenderedPageBreak/>
        <w:t>judiciário que não consegue aceitar o instituto dos alimentos compensatórios como mais uma conquista dos direitos das mulheres?</w:t>
      </w:r>
    </w:p>
    <w:p w14:paraId="0000006B" w14:textId="77777777" w:rsidR="001C1913" w:rsidRDefault="00311307" w:rsidP="008F3BE8">
      <w:pPr>
        <w:spacing w:line="360" w:lineRule="auto"/>
        <w:ind w:firstLine="720"/>
        <w:jc w:val="both"/>
        <w:rPr>
          <w:rFonts w:eastAsia="Times New Roman"/>
        </w:rPr>
      </w:pPr>
      <w:r>
        <w:rPr>
          <w:rFonts w:eastAsia="Times New Roman"/>
        </w:rPr>
        <w:t xml:space="preserve">É certo que no caso em que realmente não ficarem demonstrados os requisitos não é certa a fixação deste instituto, no entanto, é </w:t>
      </w:r>
      <w:proofErr w:type="gramStart"/>
      <w:r>
        <w:rPr>
          <w:rFonts w:eastAsia="Times New Roman"/>
        </w:rPr>
        <w:t>necessário</w:t>
      </w:r>
      <w:proofErr w:type="gramEnd"/>
      <w:r>
        <w:rPr>
          <w:rFonts w:eastAsia="Times New Roman"/>
        </w:rPr>
        <w:t xml:space="preserve"> que haja um julgamento justo e por equidade, tal como luta o Protocolo de Julgamento com Perspectiva de Gênero. </w:t>
      </w:r>
    </w:p>
    <w:p w14:paraId="0000006C" w14:textId="0C43F0A7" w:rsidR="001C1913" w:rsidRDefault="00311307" w:rsidP="00620AFB">
      <w:pPr>
        <w:spacing w:after="240" w:line="360" w:lineRule="auto"/>
        <w:jc w:val="both"/>
        <w:rPr>
          <w:rFonts w:eastAsia="Times New Roman"/>
        </w:rPr>
      </w:pPr>
      <w:r>
        <w:rPr>
          <w:rFonts w:eastAsia="Times New Roman"/>
        </w:rPr>
        <w:tab/>
        <w:t xml:space="preserve">Por fim, através da pesquisa realizada, foi possível verificar que há a possibilidade da concessão dos alimentos compensatórios </w:t>
      </w:r>
      <w:r w:rsidR="00BB5F7C">
        <w:rPr>
          <w:rFonts w:eastAsia="Times New Roman"/>
        </w:rPr>
        <w:t xml:space="preserve">como medida liminar, a depender, </w:t>
      </w:r>
      <w:r>
        <w:rPr>
          <w:rFonts w:eastAsia="Times New Roman"/>
        </w:rPr>
        <w:t xml:space="preserve">evidentemente, do caso concreto a ser apreciado. </w:t>
      </w:r>
    </w:p>
    <w:p w14:paraId="65E58224" w14:textId="11FFCD99" w:rsidR="00E56DB6" w:rsidRDefault="00311307" w:rsidP="00E56DB6">
      <w:pPr>
        <w:spacing w:before="240" w:after="240" w:line="360" w:lineRule="auto"/>
        <w:rPr>
          <w:rFonts w:eastAsia="Times New Roman"/>
          <w:b/>
        </w:rPr>
      </w:pPr>
      <w:r>
        <w:rPr>
          <w:rFonts w:eastAsia="Times New Roman"/>
          <w:b/>
        </w:rPr>
        <w:t>4.2. DA SENTENÇA</w:t>
      </w:r>
    </w:p>
    <w:p w14:paraId="0000006E" w14:textId="77777777" w:rsidR="001C1913" w:rsidRDefault="00311307" w:rsidP="00DC388A">
      <w:pPr>
        <w:spacing w:before="240" w:line="360" w:lineRule="auto"/>
        <w:ind w:firstLine="720"/>
        <w:jc w:val="both"/>
        <w:rPr>
          <w:rFonts w:eastAsia="Times New Roman"/>
        </w:rPr>
      </w:pPr>
      <w:r>
        <w:rPr>
          <w:rFonts w:eastAsia="Times New Roman"/>
        </w:rPr>
        <w:t xml:space="preserve">Ao contrário da decisão liminar, que é a decisão inicial do processo, a sentença vem para dar conclusão à lide, desse modo, além de julgar as demais matérias de mérito que não se encaixam nas questões preliminares, concede definitivamente as tutelas, tendo em vista que a decisão liminar somente antecipa seus efeitos práticos. </w:t>
      </w:r>
    </w:p>
    <w:p w14:paraId="0000006F" w14:textId="10C3E62F" w:rsidR="001C1913" w:rsidRDefault="00280B8C" w:rsidP="00DC388A">
      <w:pPr>
        <w:spacing w:line="360" w:lineRule="auto"/>
        <w:jc w:val="both"/>
        <w:rPr>
          <w:rFonts w:eastAsia="Times New Roman"/>
        </w:rPr>
      </w:pPr>
      <w:r>
        <w:rPr>
          <w:rFonts w:eastAsia="Times New Roman"/>
        </w:rPr>
        <w:tab/>
        <w:t xml:space="preserve">Pelas palavras de </w:t>
      </w:r>
      <w:proofErr w:type="spellStart"/>
      <w:r w:rsidR="00311307">
        <w:rPr>
          <w:rFonts w:eastAsia="Times New Roman"/>
        </w:rPr>
        <w:t>Dinamarco</w:t>
      </w:r>
      <w:proofErr w:type="spellEnd"/>
      <w:r w:rsidR="00BF1487">
        <w:rPr>
          <w:rFonts w:eastAsia="Times New Roman"/>
        </w:rPr>
        <w:t xml:space="preserve"> (2005, p. 652-653</w:t>
      </w:r>
      <w:r>
        <w:rPr>
          <w:rFonts w:eastAsia="Times New Roman"/>
        </w:rPr>
        <w:t xml:space="preserve">) </w:t>
      </w:r>
      <w:r w:rsidR="00311307">
        <w:rPr>
          <w:rFonts w:eastAsia="Times New Roman"/>
        </w:rPr>
        <w:t>melhor será conceituar a sentença, portanto, como o ato cujo o principal efeito processu</w:t>
      </w:r>
      <w:r w:rsidR="005C7154">
        <w:rPr>
          <w:rFonts w:eastAsia="Times New Roman"/>
        </w:rPr>
        <w:t>al é o de extinguir o processo.</w:t>
      </w:r>
      <w:r w:rsidR="00311307">
        <w:rPr>
          <w:rFonts w:eastAsia="Times New Roman"/>
        </w:rPr>
        <w:t xml:space="preserve"> </w:t>
      </w:r>
    </w:p>
    <w:p w14:paraId="00000070" w14:textId="77777777" w:rsidR="001C1913" w:rsidRDefault="00311307" w:rsidP="00DC388A">
      <w:pPr>
        <w:spacing w:line="360" w:lineRule="auto"/>
        <w:ind w:firstLine="720"/>
        <w:jc w:val="both"/>
        <w:rPr>
          <w:rFonts w:eastAsia="Times New Roman"/>
        </w:rPr>
      </w:pPr>
      <w:r>
        <w:rPr>
          <w:rFonts w:eastAsia="Times New Roman"/>
        </w:rPr>
        <w:t xml:space="preserve">Diante disso, é necessário relacionar o objetivo dos alimentos compensatórios, que é como o nome do instituto sugere, a compensação econômica em razão do desequilíbrio financeiro que surge em razão do divórcio, com o tempo que normalmente duram os processos de divórcio. </w:t>
      </w:r>
    </w:p>
    <w:p w14:paraId="00000071" w14:textId="7E39783E" w:rsidR="001C1913" w:rsidRDefault="00311307" w:rsidP="00DC388A">
      <w:pPr>
        <w:spacing w:line="360" w:lineRule="auto"/>
        <w:ind w:firstLine="720"/>
        <w:jc w:val="both"/>
        <w:rPr>
          <w:rFonts w:eastAsia="Times New Roman"/>
        </w:rPr>
      </w:pPr>
      <w:r>
        <w:rPr>
          <w:rFonts w:eastAsia="Times New Roman"/>
        </w:rPr>
        <w:t>Ao analisar o cenário atual do sistema judiciário brasile</w:t>
      </w:r>
      <w:r w:rsidR="003F71FB">
        <w:rPr>
          <w:rFonts w:eastAsia="Times New Roman"/>
        </w:rPr>
        <w:t xml:space="preserve">iro e </w:t>
      </w:r>
      <w:r>
        <w:rPr>
          <w:rFonts w:eastAsia="Times New Roman"/>
        </w:rPr>
        <w:t xml:space="preserve">sua superlotação, bem como as discussões que acontecem na maioria dos casos de divórcio litigioso, até que o processo seja verdadeiramente concluído, pode levar de meses a mais de cinco anos. </w:t>
      </w:r>
    </w:p>
    <w:p w14:paraId="00000072" w14:textId="77777777" w:rsidR="001C1913" w:rsidRDefault="00311307" w:rsidP="00DC388A">
      <w:pPr>
        <w:spacing w:after="240" w:line="360" w:lineRule="auto"/>
        <w:ind w:firstLine="720"/>
        <w:jc w:val="both"/>
        <w:rPr>
          <w:rFonts w:eastAsia="Times New Roman"/>
        </w:rPr>
      </w:pPr>
      <w:r>
        <w:rPr>
          <w:rFonts w:eastAsia="Times New Roman"/>
        </w:rPr>
        <w:t>Ao analisar as jurisprudências do Tribunal de Justiça de Minas Gerais que versam sobre os alimentos compensatórios, é possível perceber que em sua maioria, este instituto somente é analisado em sede de sentença, e mesmo assim, não é concedido.</w:t>
      </w:r>
    </w:p>
    <w:p w14:paraId="00000073" w14:textId="61E5458F" w:rsidR="001C1913" w:rsidRDefault="00311307" w:rsidP="008F3BE8">
      <w:pPr>
        <w:spacing w:before="240" w:after="240"/>
        <w:ind w:left="2267"/>
        <w:jc w:val="both"/>
        <w:rPr>
          <w:rFonts w:eastAsia="Times New Roman"/>
          <w:sz w:val="20"/>
          <w:szCs w:val="20"/>
          <w:highlight w:val="white"/>
        </w:rPr>
      </w:pPr>
      <w:r>
        <w:rPr>
          <w:rFonts w:eastAsia="Times New Roman"/>
          <w:sz w:val="20"/>
          <w:szCs w:val="20"/>
          <w:highlight w:val="white"/>
        </w:rPr>
        <w:t>Nesse sentido, para que os alimentos compensatórios sejam devidos, a jurisprudência exige a demonstração de que houve desequilíbrio econômico derivado da posse ou usufruto de patrimônio comum por apenas um dos ex-cônjuges após a separação. Esses alimentos, como destacado por doutrinadores e jurisprudência, têm caráter ressarcitório, sendo devidos quando há permanência de um dos cônjuges na posse dos bens adquiridos em comum durante o casamento ou união estável. No presente caso, como as partes se casaram sob o regime de separação total de bens, não há indícios da existência de patrimônio conjunto ou da manutenção de qualquer patrimônio que tenha sido adquirido durante a vida comum na posse exclusiva de um dos cônjuges. Em outras palavras, não há bens comuns a serem partilhados ou usufruídos por apenas um dos ex-cônjuges, e, portanto, não há razão para se con</w:t>
      </w:r>
      <w:r w:rsidR="00394323">
        <w:rPr>
          <w:rFonts w:eastAsia="Times New Roman"/>
          <w:sz w:val="20"/>
          <w:szCs w:val="20"/>
          <w:highlight w:val="white"/>
        </w:rPr>
        <w:t>ceder alimentos compensatórios.</w:t>
      </w:r>
      <w:r>
        <w:rPr>
          <w:rFonts w:eastAsia="Times New Roman"/>
          <w:sz w:val="20"/>
          <w:szCs w:val="20"/>
          <w:highlight w:val="white"/>
        </w:rPr>
        <w:t xml:space="preserve">  (TJMG -  Apelação </w:t>
      </w:r>
      <w:proofErr w:type="gramStart"/>
      <w:r>
        <w:rPr>
          <w:rFonts w:eastAsia="Times New Roman"/>
          <w:sz w:val="20"/>
          <w:szCs w:val="20"/>
          <w:highlight w:val="white"/>
        </w:rPr>
        <w:t>Cível  1.0000.22.191884</w:t>
      </w:r>
      <w:proofErr w:type="gramEnd"/>
      <w:r>
        <w:rPr>
          <w:rFonts w:eastAsia="Times New Roman"/>
          <w:sz w:val="20"/>
          <w:szCs w:val="20"/>
          <w:highlight w:val="white"/>
        </w:rPr>
        <w:t xml:space="preserve">-0/003, Relator(a): </w:t>
      </w:r>
      <w:r>
        <w:rPr>
          <w:rFonts w:eastAsia="Times New Roman"/>
          <w:sz w:val="20"/>
          <w:szCs w:val="20"/>
          <w:highlight w:val="white"/>
        </w:rPr>
        <w:lastRenderedPageBreak/>
        <w:t xml:space="preserve">Des.(a) Paulo Rogério de Souza Abrantes (JD Convocado) , Câmara Justiça 4.0 - </w:t>
      </w:r>
      <w:proofErr w:type="spellStart"/>
      <w:r>
        <w:rPr>
          <w:rFonts w:eastAsia="Times New Roman"/>
          <w:sz w:val="20"/>
          <w:szCs w:val="20"/>
          <w:highlight w:val="white"/>
        </w:rPr>
        <w:t>Especiali</w:t>
      </w:r>
      <w:proofErr w:type="spellEnd"/>
      <w:r>
        <w:rPr>
          <w:rFonts w:eastAsia="Times New Roman"/>
          <w:sz w:val="20"/>
          <w:szCs w:val="20"/>
          <w:highlight w:val="white"/>
        </w:rPr>
        <w:t>, julgamento em 13/09/2024, publicação da súmula em 13/09/2024)</w:t>
      </w:r>
    </w:p>
    <w:p w14:paraId="00000074" w14:textId="08FBC165" w:rsidR="001C1913" w:rsidRPr="009610A5" w:rsidRDefault="00311307" w:rsidP="008F3BE8">
      <w:pPr>
        <w:spacing w:before="240" w:after="240"/>
        <w:ind w:left="2267"/>
        <w:jc w:val="both"/>
        <w:rPr>
          <w:rFonts w:eastAsia="Times New Roman"/>
          <w:sz w:val="20"/>
          <w:szCs w:val="20"/>
          <w:highlight w:val="white"/>
        </w:rPr>
      </w:pPr>
      <w:r w:rsidRPr="009610A5">
        <w:rPr>
          <w:rFonts w:eastAsia="Times New Roman"/>
          <w:sz w:val="20"/>
          <w:szCs w:val="20"/>
          <w:highlight w:val="white"/>
        </w:rPr>
        <w:t>Com efeito, o direito aos alimentos compensatórios surge quando verificada a disparidade econômica entre os cônjuges, no momento da dissolução da sociedade conjugal, ficando um dos consortes em posição menos vantajosa, geralmente (mas não unicamente) pela não participação na partilha dos bens ou na meação, em virtude da adoção, no casamento, do regime de separação de bens. (...) Dito isso, da detida análise do acervo probatório, não se constata disparidade econômica entre as partes, proveniente da extinção do casamento, especialmente quando observadas as declarações de imposto de renda juntadas pelo réu às ordens nº 377/380 e pela autora às ordens nº 382/385. (...) Não estando, assim, comprovada a queda abrupta do padrão de vida da autora, proveniente do rompimento do vínculo conjugal, não são de</w:t>
      </w:r>
      <w:r w:rsidR="00394323">
        <w:rPr>
          <w:rFonts w:eastAsia="Times New Roman"/>
          <w:sz w:val="20"/>
          <w:szCs w:val="20"/>
          <w:highlight w:val="white"/>
        </w:rPr>
        <w:t>vidos alimentos compensatórios.</w:t>
      </w:r>
      <w:r w:rsidRPr="009610A5">
        <w:rPr>
          <w:rFonts w:eastAsia="Times New Roman"/>
          <w:sz w:val="20"/>
          <w:szCs w:val="20"/>
          <w:highlight w:val="white"/>
        </w:rPr>
        <w:t xml:space="preserve">  (TJMG -  Apelação </w:t>
      </w:r>
      <w:proofErr w:type="gramStart"/>
      <w:r w:rsidRPr="009610A5">
        <w:rPr>
          <w:rFonts w:eastAsia="Times New Roman"/>
          <w:sz w:val="20"/>
          <w:szCs w:val="20"/>
          <w:highlight w:val="white"/>
        </w:rPr>
        <w:t>Cível  1.0000.22.033559</w:t>
      </w:r>
      <w:proofErr w:type="gramEnd"/>
      <w:r w:rsidRPr="009610A5">
        <w:rPr>
          <w:rFonts w:eastAsia="Times New Roman"/>
          <w:sz w:val="20"/>
          <w:szCs w:val="20"/>
          <w:highlight w:val="white"/>
        </w:rPr>
        <w:t>-0/004, Relator(a): Des.(a) Eduardo Gomes dos Reis (JD Convocado) , 4ª Câmara Cível Especializada, julgamento em 08/08/2024, publicação da súmula em 12/08/2024)</w:t>
      </w:r>
    </w:p>
    <w:p w14:paraId="00000075" w14:textId="075939D6" w:rsidR="001C1913" w:rsidRPr="009610A5" w:rsidRDefault="00311307" w:rsidP="008F3BE8">
      <w:pPr>
        <w:spacing w:before="240" w:after="240"/>
        <w:ind w:left="2267"/>
        <w:jc w:val="both"/>
        <w:rPr>
          <w:rFonts w:eastAsia="Times New Roman"/>
          <w:sz w:val="20"/>
          <w:szCs w:val="20"/>
          <w:highlight w:val="white"/>
        </w:rPr>
      </w:pPr>
      <w:r w:rsidRPr="009610A5">
        <w:rPr>
          <w:rFonts w:eastAsia="Times New Roman"/>
          <w:sz w:val="20"/>
          <w:szCs w:val="20"/>
          <w:highlight w:val="white"/>
        </w:rPr>
        <w:t xml:space="preserve">Nesse contexto, considerando que ao alegado decréscimo na condição de vida da parte autora não foi seguida do acréscimo econômico na condição socioeconômica do demandado, estando a referida queda atrelada antes ao fim da sociedade conjugal do que à apropriação do patrimônio comum pelo demandado, até porque foi determinada a partilha das quotas da </w:t>
      </w:r>
      <w:proofErr w:type="spellStart"/>
      <w:r w:rsidRPr="009610A5">
        <w:rPr>
          <w:rFonts w:eastAsia="Times New Roman"/>
          <w:sz w:val="20"/>
          <w:szCs w:val="20"/>
          <w:highlight w:val="white"/>
        </w:rPr>
        <w:t>Consultran</w:t>
      </w:r>
      <w:proofErr w:type="spellEnd"/>
      <w:r w:rsidRPr="009610A5">
        <w:rPr>
          <w:rFonts w:eastAsia="Times New Roman"/>
          <w:sz w:val="20"/>
          <w:szCs w:val="20"/>
          <w:highlight w:val="white"/>
        </w:rPr>
        <w:t xml:space="preserve"> MG Caratinga </w:t>
      </w:r>
      <w:proofErr w:type="spellStart"/>
      <w:r w:rsidRPr="009610A5">
        <w:rPr>
          <w:rFonts w:eastAsia="Times New Roman"/>
          <w:sz w:val="20"/>
          <w:szCs w:val="20"/>
          <w:highlight w:val="white"/>
        </w:rPr>
        <w:t>titularizadas</w:t>
      </w:r>
      <w:proofErr w:type="spellEnd"/>
      <w:r w:rsidRPr="009610A5">
        <w:rPr>
          <w:rFonts w:eastAsia="Times New Roman"/>
          <w:sz w:val="20"/>
          <w:szCs w:val="20"/>
          <w:highlight w:val="white"/>
        </w:rPr>
        <w:t xml:space="preserve"> pelo apelado, descabido o pedido de fixaç</w:t>
      </w:r>
      <w:r w:rsidR="00394323">
        <w:rPr>
          <w:rFonts w:eastAsia="Times New Roman"/>
          <w:sz w:val="20"/>
          <w:szCs w:val="20"/>
          <w:highlight w:val="white"/>
        </w:rPr>
        <w:t>ão de alimentos compensatórios.</w:t>
      </w:r>
      <w:r w:rsidRPr="009610A5">
        <w:rPr>
          <w:rFonts w:eastAsia="Times New Roman"/>
          <w:sz w:val="20"/>
          <w:szCs w:val="20"/>
          <w:highlight w:val="white"/>
        </w:rPr>
        <w:t xml:space="preserve">  (TJMG -  Apelação </w:t>
      </w:r>
      <w:proofErr w:type="gramStart"/>
      <w:r w:rsidRPr="009610A5">
        <w:rPr>
          <w:rFonts w:eastAsia="Times New Roman"/>
          <w:sz w:val="20"/>
          <w:szCs w:val="20"/>
          <w:highlight w:val="white"/>
        </w:rPr>
        <w:t>Cível  1.0000.24.185888</w:t>
      </w:r>
      <w:proofErr w:type="gramEnd"/>
      <w:r w:rsidRPr="009610A5">
        <w:rPr>
          <w:rFonts w:eastAsia="Times New Roman"/>
          <w:sz w:val="20"/>
          <w:szCs w:val="20"/>
          <w:highlight w:val="white"/>
        </w:rPr>
        <w:t xml:space="preserve">-5/001, Relator(a): Des.(a) Francisco Ricardo Sales Costa (JD 2G) , Câmara Justiça 4.0 - </w:t>
      </w:r>
      <w:proofErr w:type="spellStart"/>
      <w:r w:rsidRPr="009610A5">
        <w:rPr>
          <w:rFonts w:eastAsia="Times New Roman"/>
          <w:sz w:val="20"/>
          <w:szCs w:val="20"/>
          <w:highlight w:val="white"/>
        </w:rPr>
        <w:t>Especiali</w:t>
      </w:r>
      <w:proofErr w:type="spellEnd"/>
      <w:r w:rsidRPr="009610A5">
        <w:rPr>
          <w:rFonts w:eastAsia="Times New Roman"/>
          <w:sz w:val="20"/>
          <w:szCs w:val="20"/>
          <w:highlight w:val="white"/>
        </w:rPr>
        <w:t>, julgamento em 19/07/2024, publicação da súmula em 22/07/2024)</w:t>
      </w:r>
    </w:p>
    <w:p w14:paraId="00000076" w14:textId="552A90B2" w:rsidR="001C1913" w:rsidRPr="009610A5" w:rsidRDefault="00311307" w:rsidP="008F3BE8">
      <w:pPr>
        <w:spacing w:before="240" w:after="240"/>
        <w:ind w:left="2267"/>
        <w:jc w:val="both"/>
        <w:rPr>
          <w:rFonts w:eastAsia="Times New Roman"/>
          <w:sz w:val="20"/>
          <w:szCs w:val="20"/>
          <w:highlight w:val="white"/>
        </w:rPr>
      </w:pPr>
      <w:r w:rsidRPr="009610A5">
        <w:rPr>
          <w:rFonts w:eastAsia="Times New Roman"/>
          <w:sz w:val="20"/>
          <w:szCs w:val="20"/>
          <w:highlight w:val="white"/>
        </w:rPr>
        <w:t xml:space="preserve">Na peça recursal, a apelante pugna pela fixação de alimentos compensatórios, argumentando que o desequilíbrio financeiro entre o casal, em decorrência da diferença de remuneração de cada um deles. Verifica-se que as partes já fizeram acordo em relação à partilha de bens, não havendo que se falar, portanto, que esta tenha resultado na imposição de situação financeira desfavorável à apelante. Ademais, é cediço que, em regra, o divórcio provoca a alteração do nível econômico das partes envolvidas, reduzindo-se o padrão de vida anteriormente existente, cabendo às partes se adaptarem à nova realidade. Desta forma, não é toda e qualquer redução que autoriza a condenação em alimentos compensatórios, mas, tão somente aquela que implica em drástica alteração financeira, o que não restou demonstrado no caso dos autos. (TJMG -  Apelação </w:t>
      </w:r>
      <w:proofErr w:type="gramStart"/>
      <w:r w:rsidRPr="009610A5">
        <w:rPr>
          <w:rFonts w:eastAsia="Times New Roman"/>
          <w:sz w:val="20"/>
          <w:szCs w:val="20"/>
          <w:highlight w:val="white"/>
        </w:rPr>
        <w:t>Cível  1.0000.24.151303</w:t>
      </w:r>
      <w:proofErr w:type="gramEnd"/>
      <w:r w:rsidRPr="009610A5">
        <w:rPr>
          <w:rFonts w:eastAsia="Times New Roman"/>
          <w:sz w:val="20"/>
          <w:szCs w:val="20"/>
          <w:highlight w:val="white"/>
        </w:rPr>
        <w:t>-5/001, Relator(a): Des.(a) Alexandre Santiago , 8ª Câmara Cível Especializada, julgamento em 27/06/2024, publicação da súmula em 01/07/2024)</w:t>
      </w:r>
    </w:p>
    <w:p w14:paraId="00000077" w14:textId="6F432978" w:rsidR="001C1913" w:rsidRDefault="00311307" w:rsidP="00DC388A">
      <w:pPr>
        <w:spacing w:before="240" w:line="360" w:lineRule="auto"/>
        <w:jc w:val="both"/>
        <w:rPr>
          <w:rFonts w:eastAsia="Times New Roman"/>
          <w:highlight w:val="white"/>
        </w:rPr>
      </w:pPr>
      <w:r>
        <w:rPr>
          <w:rFonts w:eastAsia="Times New Roman"/>
          <w:sz w:val="21"/>
          <w:szCs w:val="21"/>
          <w:highlight w:val="white"/>
        </w:rPr>
        <w:tab/>
      </w:r>
      <w:r>
        <w:rPr>
          <w:rFonts w:eastAsia="Times New Roman"/>
          <w:highlight w:val="white"/>
        </w:rPr>
        <w:t>Percebe-se que a justificativa para a não concessã</w:t>
      </w:r>
      <w:r w:rsidR="00394323">
        <w:rPr>
          <w:rFonts w:eastAsia="Times New Roman"/>
          <w:highlight w:val="white"/>
        </w:rPr>
        <w:t>o dos pedidos que se tangem ness</w:t>
      </w:r>
      <w:r>
        <w:rPr>
          <w:rFonts w:eastAsia="Times New Roman"/>
          <w:highlight w:val="white"/>
        </w:rPr>
        <w:t>e instituto, na maior parte dos casos é</w:t>
      </w:r>
      <w:r w:rsidR="00304449">
        <w:rPr>
          <w:rFonts w:eastAsia="Times New Roman"/>
          <w:highlight w:val="white"/>
        </w:rPr>
        <w:t xml:space="preserve"> que não se verifica </w:t>
      </w:r>
      <w:r>
        <w:rPr>
          <w:rFonts w:eastAsia="Times New Roman"/>
          <w:highlight w:val="white"/>
        </w:rPr>
        <w:t xml:space="preserve">desequilíbrio financeiro considerável que enseje a concessão deste benefício. </w:t>
      </w:r>
    </w:p>
    <w:p w14:paraId="00000078" w14:textId="77777777" w:rsidR="001C1913" w:rsidRDefault="00311307" w:rsidP="00DC388A">
      <w:pPr>
        <w:spacing w:line="360" w:lineRule="auto"/>
        <w:jc w:val="both"/>
        <w:rPr>
          <w:rFonts w:eastAsia="Times New Roman"/>
          <w:highlight w:val="white"/>
        </w:rPr>
      </w:pPr>
      <w:r>
        <w:rPr>
          <w:rFonts w:eastAsia="Times New Roman"/>
          <w:highlight w:val="white"/>
        </w:rPr>
        <w:tab/>
        <w:t xml:space="preserve">Constata-se assim, que a maioria dos magistrados, ao julgar os casos de divórcio que possuem pedido de alimentos compensatórios, deixa para analisar tal pedido somente em fase de sentença, uma vez que nada obsta que as tutelas sejam apreciadas em sentença. </w:t>
      </w:r>
    </w:p>
    <w:p w14:paraId="00000079" w14:textId="77777777" w:rsidR="001C1913" w:rsidRDefault="00311307" w:rsidP="009610A5">
      <w:pPr>
        <w:spacing w:line="360" w:lineRule="auto"/>
        <w:jc w:val="both"/>
        <w:rPr>
          <w:rFonts w:eastAsia="Times New Roman"/>
          <w:highlight w:val="white"/>
        </w:rPr>
      </w:pPr>
      <w:r>
        <w:rPr>
          <w:rFonts w:eastAsia="Times New Roman"/>
          <w:highlight w:val="white"/>
        </w:rPr>
        <w:tab/>
        <w:t xml:space="preserve">Ante o exposto, o que se verifica é que embora o instituto aqui analisado esteja ganhando espaço no direito brasileiro, o judiciário ainda precisa amadurecer quanto a este conceito, pois apesar de ser um tema introduzido no Brasil já há alguns anos, percebe-se que este instituto ainda não conseguiu o espaço amplo que merece. </w:t>
      </w:r>
    </w:p>
    <w:p w14:paraId="0000007A" w14:textId="3FF19538" w:rsidR="001C1913" w:rsidRDefault="00311307" w:rsidP="00DC388A">
      <w:pPr>
        <w:spacing w:line="360" w:lineRule="auto"/>
        <w:jc w:val="both"/>
        <w:rPr>
          <w:rFonts w:eastAsia="Times New Roman"/>
          <w:highlight w:val="white"/>
        </w:rPr>
      </w:pPr>
      <w:r>
        <w:rPr>
          <w:rFonts w:eastAsia="Times New Roman"/>
          <w:highlight w:val="white"/>
        </w:rPr>
        <w:lastRenderedPageBreak/>
        <w:tab/>
        <w:t>Diante disso, é factível refletir se é o motivo dos alimentos compensatórios muitas vezes não lograr êxito nas decisões é por não ter sido bem recepcionado pelo o</w:t>
      </w:r>
      <w:r w:rsidR="00B10E48">
        <w:rPr>
          <w:rFonts w:eastAsia="Times New Roman"/>
          <w:highlight w:val="white"/>
        </w:rPr>
        <w:t xml:space="preserve">rdenamento jurídico brasileiro </w:t>
      </w:r>
      <w:r>
        <w:rPr>
          <w:rFonts w:eastAsia="Times New Roman"/>
          <w:highlight w:val="white"/>
        </w:rPr>
        <w:t xml:space="preserve">ou pelo fato de em grande parte das vezes o pedido ser realizado por mulheres, por serem elas o cônjuge que abdica de </w:t>
      </w:r>
      <w:r w:rsidR="00B10E48">
        <w:rPr>
          <w:rFonts w:eastAsia="Times New Roman"/>
          <w:highlight w:val="white"/>
        </w:rPr>
        <w:t>sua vida em prol do matrimônio e, c</w:t>
      </w:r>
      <w:r>
        <w:rPr>
          <w:rFonts w:eastAsia="Times New Roman"/>
          <w:highlight w:val="white"/>
        </w:rPr>
        <w:t xml:space="preserve">onsequentemente, ser o judiciário repleto de homens que são em sua maioria os julgadores. </w:t>
      </w:r>
    </w:p>
    <w:p w14:paraId="0000007B" w14:textId="77777777" w:rsidR="001C1913" w:rsidRDefault="00311307" w:rsidP="00DC388A">
      <w:pPr>
        <w:spacing w:line="360" w:lineRule="auto"/>
        <w:jc w:val="both"/>
        <w:rPr>
          <w:rFonts w:eastAsia="Times New Roman"/>
          <w:highlight w:val="white"/>
        </w:rPr>
      </w:pPr>
      <w:r>
        <w:rPr>
          <w:rFonts w:eastAsia="Times New Roman"/>
          <w:highlight w:val="white"/>
        </w:rPr>
        <w:tab/>
        <w:t>Nesse sentido, a crítica que se faz é que os homens podem enxergar os alimentos compensatórios como uma ameaça a eles, por ser mais um direito que pode beneficiar ao gênero feminino, embora não seja um direito de gênero, por poder ser concedido se o caso analisado for o contrário.</w:t>
      </w:r>
    </w:p>
    <w:p w14:paraId="0000007C" w14:textId="77777777" w:rsidR="001C1913" w:rsidRDefault="00311307" w:rsidP="00DC388A">
      <w:pPr>
        <w:spacing w:after="240" w:line="360" w:lineRule="auto"/>
        <w:jc w:val="both"/>
        <w:rPr>
          <w:rFonts w:eastAsia="Times New Roman"/>
          <w:b/>
        </w:rPr>
      </w:pPr>
      <w:r>
        <w:rPr>
          <w:rFonts w:eastAsia="Times New Roman"/>
          <w:highlight w:val="white"/>
        </w:rPr>
        <w:tab/>
        <w:t>Portanto, voltando à análise do objetivo desta pesquisa, concomitantemente às decisões aqui analisadas, constatou-se que em grande parte das decisões os alimentos compensatórios somente são analisados em sede de sentença.</w:t>
      </w:r>
    </w:p>
    <w:p w14:paraId="55D5D94A" w14:textId="0BB2268A" w:rsidR="003316EB" w:rsidRPr="00D00F4D" w:rsidRDefault="00311307" w:rsidP="00D00F4D">
      <w:pPr>
        <w:numPr>
          <w:ilvl w:val="0"/>
          <w:numId w:val="1"/>
        </w:numPr>
        <w:spacing w:before="240" w:line="360" w:lineRule="auto"/>
        <w:rPr>
          <w:rFonts w:eastAsia="Times New Roman"/>
          <w:b/>
        </w:rPr>
      </w:pPr>
      <w:bookmarkStart w:id="2" w:name="_Ref183541081"/>
      <w:r>
        <w:rPr>
          <w:rFonts w:eastAsia="Times New Roman"/>
          <w:b/>
        </w:rPr>
        <w:t>CONSIDERAÇÕES FINAIS</w:t>
      </w:r>
      <w:bookmarkEnd w:id="2"/>
    </w:p>
    <w:p w14:paraId="0000007E" w14:textId="77777777" w:rsidR="001C1913" w:rsidRDefault="00311307" w:rsidP="003316EB">
      <w:pPr>
        <w:spacing w:line="360" w:lineRule="auto"/>
        <w:jc w:val="both"/>
        <w:rPr>
          <w:rFonts w:eastAsia="Times New Roman"/>
        </w:rPr>
      </w:pPr>
      <w:r>
        <w:rPr>
          <w:rFonts w:eastAsia="Times New Roman"/>
        </w:rPr>
        <w:tab/>
        <w:t xml:space="preserve">Mesmo tendo sido percebido que os alimentos compensatórios normalmente só são analisados em sede de sentença, é preciso correlacionar as decisões com as disposições do Protocolo de Julgamento com Perspectiva de Gênero, bem como com o objetivo dos alimentos compensatórios. </w:t>
      </w:r>
    </w:p>
    <w:p w14:paraId="0000007F" w14:textId="7D1849B1" w:rsidR="001C1913" w:rsidRDefault="00311307" w:rsidP="00A3793D">
      <w:pPr>
        <w:spacing w:line="360" w:lineRule="auto"/>
        <w:ind w:firstLine="720"/>
        <w:jc w:val="both"/>
        <w:rPr>
          <w:rFonts w:eastAsia="Times New Roman"/>
        </w:rPr>
      </w:pPr>
      <w:r>
        <w:rPr>
          <w:rFonts w:eastAsia="Times New Roman"/>
        </w:rPr>
        <w:t xml:space="preserve">Com a </w:t>
      </w:r>
      <w:r w:rsidR="00B10E48">
        <w:rPr>
          <w:rFonts w:eastAsia="Times New Roman"/>
        </w:rPr>
        <w:t>leitura da obra de Rolf Madaleno</w:t>
      </w:r>
      <w:r>
        <w:rPr>
          <w:rFonts w:eastAsia="Times New Roman"/>
        </w:rPr>
        <w:t xml:space="preserve"> que trata especialmente sobre este instituto é possível perceber que c</w:t>
      </w:r>
      <w:r w:rsidR="00B10E48">
        <w:rPr>
          <w:rFonts w:eastAsia="Times New Roman"/>
        </w:rPr>
        <w:t>onforme entendimento do autor: O</w:t>
      </w:r>
      <w:r>
        <w:rPr>
          <w:rFonts w:eastAsia="Times New Roman"/>
        </w:rPr>
        <w:t xml:space="preserve"> direito aos alimentos compensatórios surge no exato momento em que se dá a</w:t>
      </w:r>
      <w:r w:rsidR="00B10E48">
        <w:rPr>
          <w:rFonts w:eastAsia="Times New Roman"/>
        </w:rPr>
        <w:t xml:space="preserve"> ruptura do relacionamento (...)</w:t>
      </w:r>
      <w:r>
        <w:rPr>
          <w:rFonts w:eastAsia="Times New Roman"/>
        </w:rPr>
        <w:t xml:space="preserve"> e são destinados a compensar o desequilí</w:t>
      </w:r>
      <w:r w:rsidR="00B10E48">
        <w:rPr>
          <w:rFonts w:eastAsia="Times New Roman"/>
        </w:rPr>
        <w:t>brio financeiro com o divórcio (MADALENO, 2024</w:t>
      </w:r>
      <w:r w:rsidR="00DC2666">
        <w:rPr>
          <w:rFonts w:eastAsia="Times New Roman"/>
        </w:rPr>
        <w:t>, p.289</w:t>
      </w:r>
      <w:r w:rsidR="00B10E48">
        <w:rPr>
          <w:rFonts w:eastAsia="Times New Roman"/>
        </w:rPr>
        <w:t>)</w:t>
      </w:r>
    </w:p>
    <w:p w14:paraId="00000080" w14:textId="77777777" w:rsidR="001C1913" w:rsidRDefault="00311307" w:rsidP="00A3793D">
      <w:pPr>
        <w:spacing w:line="360" w:lineRule="auto"/>
        <w:ind w:firstLine="720"/>
        <w:jc w:val="both"/>
        <w:rPr>
          <w:rFonts w:eastAsia="Times New Roman"/>
        </w:rPr>
      </w:pPr>
      <w:r>
        <w:rPr>
          <w:rFonts w:eastAsia="Times New Roman"/>
        </w:rPr>
        <w:t xml:space="preserve">Nesse sentido, entende-se que o ideal seria a apreciação dos alimentos compensatórios já na primeira decisão do processo de divórcio como medida liminar, se assim for requerido, mas claramente se o caso concreto assim permitir, já que para a concessão das tutelas é necessário atender os requisitos previstos no Código Civil. </w:t>
      </w:r>
    </w:p>
    <w:p w14:paraId="00000081" w14:textId="597C22AF" w:rsidR="001C1913" w:rsidRDefault="00311307" w:rsidP="00A3793D">
      <w:pPr>
        <w:spacing w:line="360" w:lineRule="auto"/>
        <w:ind w:firstLine="720"/>
        <w:jc w:val="both"/>
        <w:rPr>
          <w:rFonts w:eastAsia="Times New Roman"/>
        </w:rPr>
      </w:pPr>
      <w:r>
        <w:rPr>
          <w:rFonts w:eastAsia="Times New Roman"/>
        </w:rPr>
        <w:t>Isso pois, se o direito aos</w:t>
      </w:r>
      <w:r w:rsidR="00B10E48">
        <w:rPr>
          <w:rFonts w:eastAsia="Times New Roman"/>
        </w:rPr>
        <w:t xml:space="preserve"> alimentos compensatórios surge</w:t>
      </w:r>
      <w:r>
        <w:rPr>
          <w:rFonts w:eastAsia="Times New Roman"/>
        </w:rPr>
        <w:t xml:space="preserve"> no exato momento da ruptura do relacionamento e tem como objetivo o equilíbrio econômico entre os cônjuges após a separação, não faz sentido que a mulher aguarde por anos por uma sentença que condene o ex-marido ao pagamento de uma indenização. </w:t>
      </w:r>
    </w:p>
    <w:p w14:paraId="00000082" w14:textId="6CB86F04" w:rsidR="001C1913" w:rsidRDefault="00311307" w:rsidP="00A3793D">
      <w:pPr>
        <w:spacing w:line="360" w:lineRule="auto"/>
        <w:ind w:firstLine="720"/>
        <w:jc w:val="both"/>
        <w:rPr>
          <w:rFonts w:eastAsia="Times New Roman"/>
        </w:rPr>
      </w:pPr>
      <w:r>
        <w:rPr>
          <w:rFonts w:eastAsia="Times New Roman"/>
        </w:rPr>
        <w:t>Principalmente nos casos em que o homem fica na administração dos be</w:t>
      </w:r>
      <w:r w:rsidR="00B10E48">
        <w:rPr>
          <w:rFonts w:eastAsia="Times New Roman"/>
        </w:rPr>
        <w:t xml:space="preserve">ns, </w:t>
      </w:r>
      <w:r>
        <w:rPr>
          <w:rFonts w:eastAsia="Times New Roman"/>
        </w:rPr>
        <w:t xml:space="preserve">o desequilíbrio financeiro surge exatamente por esse motivo, portanto, enquanto a mulher aguarda passando por diversas dificuldades financeiras, o homem passa todo o percurso do processo usufruindo tranquilamente de um bem que também é da ex-esposa. </w:t>
      </w:r>
    </w:p>
    <w:p w14:paraId="00000083" w14:textId="77777777" w:rsidR="001C1913" w:rsidRDefault="00311307" w:rsidP="00B10E48">
      <w:pPr>
        <w:spacing w:line="360" w:lineRule="auto"/>
        <w:ind w:firstLine="720"/>
        <w:jc w:val="both"/>
        <w:rPr>
          <w:rFonts w:eastAsia="Times New Roman"/>
        </w:rPr>
      </w:pPr>
      <w:r>
        <w:rPr>
          <w:rFonts w:eastAsia="Times New Roman"/>
        </w:rPr>
        <w:lastRenderedPageBreak/>
        <w:t xml:space="preserve">Assim, é importante destacar que enquanto o homem se encontra na posse dos bens da família, nada pode garantir que ele não comece a dilapidar o patrimônio ou realizar manobras para a fraude na partilha, deixando a mulher em um prejuízo ainda maior. </w:t>
      </w:r>
    </w:p>
    <w:p w14:paraId="00000084" w14:textId="77777777" w:rsidR="001C1913" w:rsidRDefault="00311307" w:rsidP="00A3793D">
      <w:pPr>
        <w:spacing w:line="360" w:lineRule="auto"/>
        <w:ind w:firstLine="720"/>
        <w:jc w:val="both"/>
        <w:rPr>
          <w:rFonts w:eastAsia="Times New Roman"/>
        </w:rPr>
      </w:pPr>
      <w:r>
        <w:rPr>
          <w:rFonts w:eastAsia="Times New Roman"/>
        </w:rPr>
        <w:t>Para mais, se analisarmos ainda pelo viés da mulher que se dedica inteiramente ao casamento por anos e encontra dificuldade de reinserção no mercado de trabalho, é justamente nos primeiros meses da separação que ela encontra maior dificuldade.</w:t>
      </w:r>
    </w:p>
    <w:p w14:paraId="00000085" w14:textId="34CA381F" w:rsidR="001C1913" w:rsidRDefault="00311307" w:rsidP="00A3793D">
      <w:pPr>
        <w:spacing w:line="360" w:lineRule="auto"/>
        <w:ind w:firstLine="720"/>
        <w:jc w:val="both"/>
        <w:rPr>
          <w:rFonts w:eastAsia="Times New Roman"/>
        </w:rPr>
      </w:pPr>
      <w:r>
        <w:rPr>
          <w:rFonts w:eastAsia="Times New Roman"/>
        </w:rPr>
        <w:t>Portanto, nada obsta que esses alimentos sejam concedidos logo no início do processo, sobretudo tendo em vista que as tutelas podem ser suspensas, existindo também a responsabilização pelo prejuízo que a efetivação da tutela de urgência causar à parte adversa se o juízo entender posteriormente no decorrer do processo que a pessoa que foi benefic</w:t>
      </w:r>
      <w:r w:rsidR="00B10E48">
        <w:rPr>
          <w:rFonts w:eastAsia="Times New Roman"/>
        </w:rPr>
        <w:t xml:space="preserve">iada com a concessão da tutela </w:t>
      </w:r>
      <w:r>
        <w:rPr>
          <w:rFonts w:eastAsia="Times New Roman"/>
        </w:rPr>
        <w:t xml:space="preserve">não faz jus a ela, conforme estabelece o artigo 302, </w:t>
      </w:r>
      <w:r w:rsidR="00545503">
        <w:rPr>
          <w:rFonts w:eastAsia="Times New Roman"/>
        </w:rPr>
        <w:t>§1º do Código de Processo Civil (BRASIL, 2015).</w:t>
      </w:r>
    </w:p>
    <w:p w14:paraId="00000086" w14:textId="31389E78" w:rsidR="001C1913" w:rsidRDefault="00311307" w:rsidP="00A3793D">
      <w:pPr>
        <w:spacing w:line="360" w:lineRule="auto"/>
        <w:ind w:firstLine="720"/>
        <w:jc w:val="both"/>
        <w:rPr>
          <w:rFonts w:eastAsia="Times New Roman"/>
        </w:rPr>
      </w:pPr>
      <w:r>
        <w:rPr>
          <w:rFonts w:eastAsia="Times New Roman"/>
        </w:rPr>
        <w:t xml:space="preserve">Ademais, ao avaliar a aplicabilidade do Protocolo de Julgamento com Perspectiva de Gênero, documento norteador para a análise deste trabalho, ao julgar casos em que a desigualdade de gênero está </w:t>
      </w:r>
      <w:r w:rsidR="00B10E48">
        <w:rPr>
          <w:rFonts w:eastAsia="Times New Roman"/>
        </w:rPr>
        <w:t>evidenciada</w:t>
      </w:r>
      <w:r>
        <w:rPr>
          <w:rFonts w:eastAsia="Times New Roman"/>
        </w:rPr>
        <w:t>, como na maioria dos casos de divórcio em que é cabível o pedido de alimentos compensatórios, é dever dos operadores do direito atuar</w:t>
      </w:r>
      <w:r w:rsidR="00545503">
        <w:rPr>
          <w:rFonts w:eastAsia="Times New Roman"/>
        </w:rPr>
        <w:t>em</w:t>
      </w:r>
      <w:r>
        <w:rPr>
          <w:rFonts w:eastAsia="Times New Roman"/>
        </w:rPr>
        <w:t xml:space="preserve"> de forma a atenuar essa desigualdade. </w:t>
      </w:r>
    </w:p>
    <w:p w14:paraId="00000087" w14:textId="77777777" w:rsidR="001C1913" w:rsidRDefault="00311307" w:rsidP="00A3793D">
      <w:pPr>
        <w:spacing w:line="360" w:lineRule="auto"/>
        <w:ind w:firstLine="720"/>
        <w:jc w:val="both"/>
        <w:rPr>
          <w:rFonts w:eastAsia="Times New Roman"/>
        </w:rPr>
      </w:pPr>
      <w:r>
        <w:rPr>
          <w:rFonts w:eastAsia="Times New Roman"/>
        </w:rPr>
        <w:t xml:space="preserve">Assim, deixando para apreciar o pedido de alimentos compensatórios somente ao final do processo o que aconteceria é o abrasamento da desigualdade de gênero. </w:t>
      </w:r>
    </w:p>
    <w:p w14:paraId="00000088" w14:textId="79480032" w:rsidR="001C1913" w:rsidRDefault="00311307" w:rsidP="00B10E48">
      <w:pPr>
        <w:spacing w:line="360" w:lineRule="auto"/>
        <w:ind w:firstLine="720"/>
        <w:jc w:val="both"/>
        <w:rPr>
          <w:rFonts w:eastAsia="Times New Roman"/>
        </w:rPr>
      </w:pPr>
      <w:r>
        <w:rPr>
          <w:rFonts w:eastAsia="Times New Roman"/>
        </w:rPr>
        <w:t>Com o resultado da pesquisa percebeu-se que em grande parte das decisões liminares que analisam o pedido de alimentos compensatórios</w:t>
      </w:r>
      <w:r w:rsidR="00545503">
        <w:rPr>
          <w:rFonts w:eastAsia="Times New Roman"/>
        </w:rPr>
        <w:t>,</w:t>
      </w:r>
      <w:r>
        <w:rPr>
          <w:rFonts w:eastAsia="Times New Roman"/>
        </w:rPr>
        <w:t xml:space="preserve"> o julgamento é desfavorável sob justificativas diversas que somente </w:t>
      </w:r>
      <w:r w:rsidR="00545503">
        <w:rPr>
          <w:rFonts w:eastAsia="Times New Roman"/>
        </w:rPr>
        <w:t xml:space="preserve">põe </w:t>
      </w:r>
      <w:r w:rsidR="00B10E48">
        <w:rPr>
          <w:rFonts w:eastAsia="Times New Roman"/>
        </w:rPr>
        <w:t xml:space="preserve">em evidência que </w:t>
      </w:r>
      <w:r>
        <w:rPr>
          <w:rFonts w:eastAsia="Times New Roman"/>
        </w:rPr>
        <w:t>como os alimentos compensatório</w:t>
      </w:r>
      <w:r w:rsidR="00B10E48">
        <w:rPr>
          <w:rFonts w:eastAsia="Times New Roman"/>
        </w:rPr>
        <w:t>s</w:t>
      </w:r>
      <w:r>
        <w:rPr>
          <w:rFonts w:eastAsia="Times New Roman"/>
        </w:rPr>
        <w:t xml:space="preserve"> são requeridos normalmente pela mulher, ainda não se tem a concepção clara sobre esse direito e quando ele deve ser concedido, sempre deixando de lado a análise do processo sob a perspectiva de gênero, estabelecida no documento do CNJ.</w:t>
      </w:r>
    </w:p>
    <w:p w14:paraId="00000089" w14:textId="63F8AD06" w:rsidR="001C1913" w:rsidRDefault="00311307" w:rsidP="00A3793D">
      <w:pPr>
        <w:spacing w:line="360" w:lineRule="auto"/>
        <w:ind w:firstLine="720"/>
        <w:jc w:val="both"/>
        <w:rPr>
          <w:rFonts w:eastAsia="Times New Roman"/>
        </w:rPr>
      </w:pPr>
      <w:r>
        <w:rPr>
          <w:rFonts w:eastAsia="Times New Roman"/>
        </w:rPr>
        <w:t>Diante disso, reflete-se sobre a aplicabilidade prát</w:t>
      </w:r>
      <w:r w:rsidR="00B10E48">
        <w:rPr>
          <w:rFonts w:eastAsia="Times New Roman"/>
        </w:rPr>
        <w:t xml:space="preserve">ica do Protocolo, </w:t>
      </w:r>
      <w:r>
        <w:rPr>
          <w:rFonts w:eastAsia="Times New Roman"/>
        </w:rPr>
        <w:t>uma vez que foi criado como uma medida de política pública para co</w:t>
      </w:r>
      <w:r w:rsidR="00B10E48">
        <w:rPr>
          <w:rFonts w:eastAsia="Times New Roman"/>
        </w:rPr>
        <w:t xml:space="preserve">mbater a desigualdade de gênero </w:t>
      </w:r>
      <w:r>
        <w:rPr>
          <w:rFonts w:eastAsia="Times New Roman"/>
        </w:rPr>
        <w:t xml:space="preserve">que poderia ser mais eficaz caso houvesse realmente a sua aplicação. </w:t>
      </w:r>
    </w:p>
    <w:p w14:paraId="0000008A" w14:textId="0CF4E47E" w:rsidR="001C1913" w:rsidRDefault="00311307" w:rsidP="00A3793D">
      <w:pPr>
        <w:spacing w:line="360" w:lineRule="auto"/>
        <w:ind w:firstLine="720"/>
        <w:jc w:val="both"/>
        <w:rPr>
          <w:rFonts w:eastAsia="Times New Roman"/>
        </w:rPr>
      </w:pPr>
      <w:r>
        <w:rPr>
          <w:rFonts w:eastAsia="Times New Roman"/>
        </w:rPr>
        <w:t xml:space="preserve">Assim, não sendo o documento utilizado indaga-se se serviria apenas como mais um instrumento ignorado na luta pelos direitos das mulheres, como muitos outro que também já foram ignorados, o que faz parecer que mais uma vez a sociedade e o judiciário, ao invés de atuar de modo a atender o objetivo de </w:t>
      </w:r>
      <w:r w:rsidR="00F97CFF">
        <w:rPr>
          <w:rFonts w:eastAsia="Times New Roman"/>
        </w:rPr>
        <w:t xml:space="preserve">tal política pública, preferem </w:t>
      </w:r>
      <w:r>
        <w:rPr>
          <w:rFonts w:eastAsia="Times New Roman"/>
        </w:rPr>
        <w:t>t</w:t>
      </w:r>
      <w:r w:rsidR="00F97CFF">
        <w:rPr>
          <w:rFonts w:eastAsia="Times New Roman"/>
        </w:rPr>
        <w:t>apar os olhos</w:t>
      </w:r>
      <w:r>
        <w:rPr>
          <w:rFonts w:eastAsia="Times New Roman"/>
        </w:rPr>
        <w:t xml:space="preserve"> para toda a situação desigual vivenciada pelas mulheres. </w:t>
      </w:r>
    </w:p>
    <w:p w14:paraId="4C996730" w14:textId="654E46BB" w:rsidR="00E00461" w:rsidRDefault="00311307" w:rsidP="00E00461">
      <w:pPr>
        <w:spacing w:line="360" w:lineRule="auto"/>
        <w:ind w:firstLine="720"/>
        <w:jc w:val="both"/>
        <w:rPr>
          <w:rFonts w:eastAsia="Times New Roman"/>
        </w:rPr>
      </w:pPr>
      <w:r>
        <w:rPr>
          <w:rFonts w:eastAsia="Times New Roman"/>
        </w:rPr>
        <w:lastRenderedPageBreak/>
        <w:t xml:space="preserve">Dessa forma, este trabalho se finaliza com a conclusão de que embora hoje o cenário vivenciado seja regado de direitos femininos já conquistados, ainda existem muitas lutas que devem ser enfrentadas pelas mulheres todos os dias, e a luta pelos alimentos compensatórios ainda se torna uma delas, portanto, continuemos na luta por uma sociedade com mais equidade. </w:t>
      </w:r>
    </w:p>
    <w:p w14:paraId="7A78E11C" w14:textId="1C450BDC" w:rsidR="003548AF" w:rsidRDefault="008A53FA" w:rsidP="008A53FA">
      <w:pPr>
        <w:spacing w:before="240" w:after="240"/>
        <w:jc w:val="center"/>
        <w:rPr>
          <w:rFonts w:eastAsia="Times New Roman"/>
          <w:b/>
        </w:rPr>
      </w:pPr>
      <w:r w:rsidRPr="008A53FA">
        <w:rPr>
          <w:rFonts w:eastAsia="Times New Roman"/>
          <w:b/>
        </w:rPr>
        <w:t>REFERÊNCIAS BIBLIOGRÁFICAS</w:t>
      </w:r>
    </w:p>
    <w:p w14:paraId="67D191DC" w14:textId="72DD03E7" w:rsidR="00E00461" w:rsidRDefault="00E00461" w:rsidP="00E00461">
      <w:pPr>
        <w:jc w:val="both"/>
        <w:rPr>
          <w:rFonts w:eastAsia="Times New Roman"/>
        </w:rPr>
      </w:pPr>
      <w:r>
        <w:rPr>
          <w:rFonts w:eastAsia="Times New Roman"/>
        </w:rPr>
        <w:t>BR</w:t>
      </w:r>
      <w:r w:rsidR="00394323" w:rsidRPr="00684145">
        <w:rPr>
          <w:rFonts w:eastAsia="Times New Roman"/>
        </w:rPr>
        <w:t xml:space="preserve">ASIL. </w:t>
      </w:r>
      <w:r w:rsidR="00394323" w:rsidRPr="00684145">
        <w:rPr>
          <w:rFonts w:eastAsia="Times New Roman"/>
          <w:b/>
        </w:rPr>
        <w:t>Constituição da República Federativa do Brasil, de 05 de outubro de 1988</w:t>
      </w:r>
      <w:r w:rsidR="00394323" w:rsidRPr="00684145">
        <w:rPr>
          <w:rFonts w:eastAsia="Times New Roman"/>
        </w:rPr>
        <w:t>. Disponível em:</w:t>
      </w:r>
      <w:hyperlink r:id="rId10" w:history="1">
        <w:r w:rsidR="00394323" w:rsidRPr="00684145">
          <w:rPr>
            <w:rStyle w:val="Hiperlink"/>
          </w:rPr>
          <w:t xml:space="preserve"> https://www.planalto.gov.br/ccivil_03/constituicao/constituicao.htmição</w:t>
        </w:r>
      </w:hyperlink>
      <w:r w:rsidR="00394323" w:rsidRPr="00684145">
        <w:rPr>
          <w:rFonts w:eastAsia="Times New Roman"/>
        </w:rPr>
        <w:t xml:space="preserve"> . Acesso em:</w:t>
      </w:r>
      <w:r w:rsidR="00394323">
        <w:rPr>
          <w:rFonts w:eastAsia="Times New Roman"/>
        </w:rPr>
        <w:t xml:space="preserve"> 15 set 2024</w:t>
      </w:r>
      <w:r>
        <w:rPr>
          <w:rFonts w:eastAsia="Times New Roman"/>
        </w:rPr>
        <w:t>.</w:t>
      </w:r>
    </w:p>
    <w:p w14:paraId="23EBAD54" w14:textId="77777777" w:rsidR="00E00461" w:rsidRPr="00684145" w:rsidRDefault="00E00461" w:rsidP="00E00461">
      <w:pPr>
        <w:jc w:val="both"/>
        <w:rPr>
          <w:rFonts w:eastAsia="Times New Roman"/>
        </w:rPr>
      </w:pPr>
    </w:p>
    <w:p w14:paraId="142FD9CA" w14:textId="3AFB2E7D" w:rsidR="00E00461" w:rsidRDefault="00394323" w:rsidP="00E00461">
      <w:pPr>
        <w:jc w:val="both"/>
      </w:pPr>
      <w:r w:rsidRPr="00684145">
        <w:t xml:space="preserve">BRASIL. </w:t>
      </w:r>
      <w:r w:rsidRPr="00684145">
        <w:rPr>
          <w:b/>
        </w:rPr>
        <w:t>Lei n° 13.105, de 16 de março de 2015</w:t>
      </w:r>
      <w:r w:rsidRPr="00684145">
        <w:t xml:space="preserve">. Código de Processo Civil. Disponível em: </w:t>
      </w:r>
      <w:hyperlink r:id="rId11" w:history="1">
        <w:r w:rsidRPr="00684145">
          <w:rPr>
            <w:rStyle w:val="Hiperlink"/>
          </w:rPr>
          <w:t>https://www.planalto.gov.br/ccivil_03/_ato2015-2018/2015/lei/l13105.htm</w:t>
        </w:r>
      </w:hyperlink>
      <w:r w:rsidRPr="00684145">
        <w:t>. Acesso em:</w:t>
      </w:r>
      <w:r>
        <w:t xml:space="preserve"> 20 set 2024.</w:t>
      </w:r>
    </w:p>
    <w:p w14:paraId="5133445B" w14:textId="77777777" w:rsidR="00E00461" w:rsidRPr="00684145" w:rsidRDefault="00E00461" w:rsidP="00E00461">
      <w:pPr>
        <w:jc w:val="both"/>
      </w:pPr>
    </w:p>
    <w:p w14:paraId="4B18E444" w14:textId="05C3B34D" w:rsidR="00E00461" w:rsidRDefault="00394323" w:rsidP="00E00461">
      <w:pPr>
        <w:jc w:val="both"/>
        <w:rPr>
          <w:rFonts w:eastAsia="Times New Roman"/>
        </w:rPr>
      </w:pPr>
      <w:r w:rsidRPr="00684145">
        <w:rPr>
          <w:rFonts w:eastAsia="Times New Roman"/>
        </w:rPr>
        <w:t xml:space="preserve">BRASIL. </w:t>
      </w:r>
      <w:r w:rsidRPr="00684145">
        <w:rPr>
          <w:rFonts w:eastAsia="Times New Roman"/>
          <w:b/>
        </w:rPr>
        <w:t xml:space="preserve">Lei n° 5.478, de 25 de julho de 1968. </w:t>
      </w:r>
      <w:r w:rsidRPr="00684145">
        <w:rPr>
          <w:rFonts w:eastAsia="Times New Roman"/>
        </w:rPr>
        <w:t>Dispõe sobre ação de alimentos e dá outras providências</w:t>
      </w:r>
      <w:r w:rsidRPr="00684145">
        <w:rPr>
          <w:rFonts w:eastAsia="Times New Roman"/>
          <w:b/>
        </w:rPr>
        <w:t>.</w:t>
      </w:r>
      <w:r w:rsidRPr="00684145">
        <w:rPr>
          <w:rFonts w:eastAsia="Times New Roman"/>
        </w:rPr>
        <w:t xml:space="preserve"> Disponível em: </w:t>
      </w:r>
      <w:hyperlink r:id="rId12" w:anchor="art28" w:history="1">
        <w:r w:rsidRPr="00684145">
          <w:rPr>
            <w:rStyle w:val="Hiperlink"/>
            <w:rFonts w:eastAsia="Times New Roman"/>
          </w:rPr>
          <w:t>https://www.planalto.gov.br/ccivil_03/leis/l5478.htm#art28</w:t>
        </w:r>
      </w:hyperlink>
      <w:r w:rsidRPr="00684145">
        <w:rPr>
          <w:rFonts w:eastAsia="Times New Roman"/>
        </w:rPr>
        <w:t>. Acesso em:</w:t>
      </w:r>
      <w:r>
        <w:rPr>
          <w:rFonts w:eastAsia="Times New Roman"/>
        </w:rPr>
        <w:t xml:space="preserve"> 15 set 2024.</w:t>
      </w:r>
    </w:p>
    <w:p w14:paraId="3FC244E6" w14:textId="77777777" w:rsidR="00E00461" w:rsidRPr="00684145" w:rsidRDefault="00E00461" w:rsidP="00E00461">
      <w:pPr>
        <w:jc w:val="both"/>
        <w:rPr>
          <w:rFonts w:eastAsia="Times New Roman"/>
        </w:rPr>
      </w:pPr>
    </w:p>
    <w:p w14:paraId="387A4B1F" w14:textId="33C86C9D" w:rsidR="00394323" w:rsidRDefault="00394323" w:rsidP="00E00461">
      <w:pPr>
        <w:jc w:val="both"/>
      </w:pPr>
      <w:r w:rsidRPr="00684145">
        <w:rPr>
          <w:rFonts w:eastAsia="Times New Roman"/>
        </w:rPr>
        <w:t>BRASIL</w:t>
      </w:r>
      <w:r w:rsidRPr="00684145">
        <w:rPr>
          <w:rFonts w:eastAsia="Times New Roman"/>
          <w:b/>
        </w:rPr>
        <w:t>. Lei nº 10.406, de 10 de janeiro de 2002</w:t>
      </w:r>
      <w:r w:rsidRPr="00684145">
        <w:rPr>
          <w:rFonts w:eastAsia="Times New Roman"/>
        </w:rPr>
        <w:t xml:space="preserve">. Institui o Código Civil. Disponível em: </w:t>
      </w:r>
      <w:hyperlink r:id="rId13" w:history="1">
        <w:r w:rsidRPr="00684145">
          <w:rPr>
            <w:rStyle w:val="Hiperlink"/>
          </w:rPr>
          <w:t xml:space="preserve"> https://www.planalto.gov.br/ccivil_03/leis/2002/l10406compilada.htmompilada</w:t>
        </w:r>
      </w:hyperlink>
      <w:r w:rsidRPr="00684145">
        <w:t>. Acesso em:</w:t>
      </w:r>
      <w:r>
        <w:t xml:space="preserve"> 20 set 2024.</w:t>
      </w:r>
    </w:p>
    <w:p w14:paraId="2AFB801A" w14:textId="77777777" w:rsidR="00E00461" w:rsidRDefault="00E00461" w:rsidP="00E00461">
      <w:pPr>
        <w:jc w:val="both"/>
      </w:pPr>
    </w:p>
    <w:p w14:paraId="46A0AAC5" w14:textId="3EF62BE5" w:rsidR="00394323" w:rsidRDefault="00394323" w:rsidP="00E00461">
      <w:pPr>
        <w:jc w:val="both"/>
      </w:pPr>
      <w:r w:rsidRPr="00684145">
        <w:rPr>
          <w:rFonts w:eastAsia="Times New Roman"/>
        </w:rPr>
        <w:t xml:space="preserve">CONSELHO NACIONAL DE JUSTIÇA. </w:t>
      </w:r>
      <w:r w:rsidRPr="00684145">
        <w:rPr>
          <w:rFonts w:eastAsia="Times New Roman"/>
          <w:b/>
        </w:rPr>
        <w:t>Perfil Sociodemográfico dos Magistrados Brasileiros</w:t>
      </w:r>
      <w:r w:rsidRPr="00684145">
        <w:rPr>
          <w:rFonts w:eastAsia="Times New Roman"/>
        </w:rPr>
        <w:t xml:space="preserve">. Brasília, 2018. Disponível em: </w:t>
      </w:r>
      <w:hyperlink r:id="rId14" w:history="1">
        <w:proofErr w:type="spellStart"/>
        <w:r w:rsidRPr="00684145">
          <w:rPr>
            <w:rStyle w:val="Hiperlink"/>
          </w:rPr>
          <w:t>Perf</w:t>
        </w:r>
        <w:proofErr w:type="spellEnd"/>
        <w:r w:rsidRPr="00684145">
          <w:t xml:space="preserve"> </w:t>
        </w:r>
        <w:r w:rsidRPr="00684145">
          <w:rPr>
            <w:rStyle w:val="Hiperlink"/>
          </w:rPr>
          <w:t xml:space="preserve">https://www.cnj.jus.br/wp-content/uploads/conteudo/arquivo/2018/09/49b47a6cf9185359256c22766d5076eb.pdfil </w:t>
        </w:r>
        <w:proofErr w:type="spellStart"/>
        <w:r w:rsidRPr="00684145">
          <w:rPr>
            <w:rStyle w:val="Hiperlink"/>
          </w:rPr>
          <w:t>Sociodemográfico</w:t>
        </w:r>
        <w:proofErr w:type="spellEnd"/>
        <w:r w:rsidRPr="00684145">
          <w:rPr>
            <w:rStyle w:val="Hiperlink"/>
          </w:rPr>
          <w:t xml:space="preserve"> dos </w:t>
        </w:r>
        <w:proofErr w:type="spellStart"/>
        <w:r w:rsidRPr="00684145">
          <w:rPr>
            <w:rStyle w:val="Hiperlink"/>
          </w:rPr>
          <w:t>Magistrados.indd</w:t>
        </w:r>
        <w:proofErr w:type="spellEnd"/>
      </w:hyperlink>
      <w:r w:rsidRPr="00684145">
        <w:t>. Acesso em:</w:t>
      </w:r>
      <w:r>
        <w:t xml:space="preserve"> 05 out 2024.</w:t>
      </w:r>
    </w:p>
    <w:p w14:paraId="04FEC83C" w14:textId="77777777" w:rsidR="00E00461" w:rsidRDefault="00E00461" w:rsidP="00E00461">
      <w:pPr>
        <w:jc w:val="both"/>
      </w:pPr>
    </w:p>
    <w:p w14:paraId="1CC41E7C" w14:textId="6C20EAF3" w:rsidR="00394323" w:rsidRDefault="00394323" w:rsidP="00E00461">
      <w:pPr>
        <w:jc w:val="both"/>
      </w:pPr>
      <w:r w:rsidRPr="00684145">
        <w:rPr>
          <w:rFonts w:eastAsia="Times New Roman"/>
        </w:rPr>
        <w:t xml:space="preserve">CONSELHO NACIONAL DE JUSTIÇA. </w:t>
      </w:r>
      <w:r w:rsidRPr="00684145">
        <w:rPr>
          <w:rFonts w:eastAsia="Times New Roman"/>
          <w:b/>
        </w:rPr>
        <w:t>Protocolo de Julgamento com Perspectiva de Gênero</w:t>
      </w:r>
      <w:r w:rsidRPr="00684145">
        <w:rPr>
          <w:rFonts w:eastAsia="Times New Roman"/>
        </w:rPr>
        <w:t>. Brasília, 2021. Disponível em:</w:t>
      </w:r>
      <w:hyperlink r:id="rId15" w:history="1">
        <w:r w:rsidRPr="00684145">
          <w:rPr>
            <w:rStyle w:val="Hiperlink"/>
          </w:rPr>
          <w:t xml:space="preserve"> https://www.cnj.jus.br/wp-content/uploads/2021/10/protocolo-para-julgamento-com-perspectiva-de-genero-cnj-24-03-2022.pdftocolo-para-julgamento-com-perspectiva-de-genero-cnj-24-03-2022.pdf</w:t>
        </w:r>
      </w:hyperlink>
      <w:r w:rsidRPr="00684145">
        <w:t>. Acesso em:</w:t>
      </w:r>
      <w:r>
        <w:t xml:space="preserve"> 05 set 2024.</w:t>
      </w:r>
    </w:p>
    <w:p w14:paraId="45E269A2" w14:textId="77777777" w:rsidR="00E00461" w:rsidRDefault="00E00461" w:rsidP="00E00461">
      <w:pPr>
        <w:jc w:val="both"/>
      </w:pPr>
    </w:p>
    <w:p w14:paraId="2AD24980" w14:textId="51BF3E4C" w:rsidR="00394323" w:rsidRDefault="00394323" w:rsidP="00E00461">
      <w:pPr>
        <w:jc w:val="both"/>
        <w:rPr>
          <w:rFonts w:eastAsia="Times New Roman"/>
        </w:rPr>
      </w:pPr>
      <w:r w:rsidRPr="00684145">
        <w:rPr>
          <w:rFonts w:eastAsia="Times New Roman"/>
        </w:rPr>
        <w:t xml:space="preserve">DIAS, Maria Berenice; RUSSOMANNO, Felipe Matte. Alimentos Compensatórios e divisão dos frutos e rendimentos dos bens comuns: não dá para </w:t>
      </w:r>
      <w:proofErr w:type="gramStart"/>
      <w:r w:rsidRPr="00684145">
        <w:rPr>
          <w:rFonts w:eastAsia="Times New Roman"/>
        </w:rPr>
        <w:t>confundir!.</w:t>
      </w:r>
      <w:proofErr w:type="gramEnd"/>
      <w:r w:rsidRPr="00684145">
        <w:rPr>
          <w:rFonts w:eastAsia="Times New Roman"/>
        </w:rPr>
        <w:t xml:space="preserve"> In: PEREIRA, Rodrigo da Cunha; DIAS, Maria Berenice (</w:t>
      </w:r>
      <w:proofErr w:type="spellStart"/>
      <w:r w:rsidRPr="00684145">
        <w:rPr>
          <w:rFonts w:eastAsia="Times New Roman"/>
        </w:rPr>
        <w:t>coord</w:t>
      </w:r>
      <w:proofErr w:type="spellEnd"/>
      <w:r w:rsidRPr="00684145">
        <w:rPr>
          <w:rFonts w:eastAsia="Times New Roman"/>
        </w:rPr>
        <w:t xml:space="preserve">). </w:t>
      </w:r>
      <w:r w:rsidRPr="00684145">
        <w:rPr>
          <w:rFonts w:eastAsia="Times New Roman"/>
          <w:b/>
        </w:rPr>
        <w:t>Famílias: Pluralidade e Felicidade</w:t>
      </w:r>
      <w:r w:rsidRPr="00684145">
        <w:rPr>
          <w:rFonts w:eastAsia="Times New Roman"/>
        </w:rPr>
        <w:t>. Belo Horizonte. IBDFAM, 2014.</w:t>
      </w:r>
    </w:p>
    <w:p w14:paraId="30C5CB18" w14:textId="77777777" w:rsidR="00E00461" w:rsidRDefault="00E00461" w:rsidP="00E00461">
      <w:pPr>
        <w:jc w:val="both"/>
        <w:rPr>
          <w:rFonts w:eastAsia="Times New Roman"/>
        </w:rPr>
      </w:pPr>
    </w:p>
    <w:p w14:paraId="605A6DCB" w14:textId="77777777" w:rsidR="00394323" w:rsidRDefault="00394323" w:rsidP="00E00461">
      <w:pPr>
        <w:jc w:val="both"/>
        <w:rPr>
          <w:rFonts w:eastAsia="Times New Roman"/>
        </w:rPr>
      </w:pPr>
      <w:r w:rsidRPr="00684145">
        <w:rPr>
          <w:rFonts w:eastAsia="Times New Roman"/>
        </w:rPr>
        <w:t xml:space="preserve">DINAMARCO, Cândido. </w:t>
      </w:r>
      <w:r w:rsidRPr="00684145">
        <w:rPr>
          <w:rFonts w:eastAsia="Times New Roman"/>
          <w:b/>
        </w:rPr>
        <w:t>Instituições de Direito Processual Civil</w:t>
      </w:r>
      <w:r w:rsidRPr="00684145">
        <w:rPr>
          <w:rFonts w:eastAsia="Times New Roman"/>
        </w:rPr>
        <w:t xml:space="preserve">, vol. III. São Paulo: Malheiros, 2005. </w:t>
      </w:r>
    </w:p>
    <w:p w14:paraId="0832EABA" w14:textId="332148C6" w:rsidR="00394323" w:rsidRDefault="00394323" w:rsidP="00E00461">
      <w:pPr>
        <w:jc w:val="both"/>
        <w:rPr>
          <w:rFonts w:eastAsia="Times New Roman"/>
        </w:rPr>
      </w:pPr>
      <w:r w:rsidRPr="00684145">
        <w:rPr>
          <w:rFonts w:eastAsia="Times New Roman"/>
        </w:rPr>
        <w:t xml:space="preserve">HAHNER, </w:t>
      </w:r>
      <w:proofErr w:type="spellStart"/>
      <w:r w:rsidRPr="00684145">
        <w:rPr>
          <w:rFonts w:eastAsia="Times New Roman"/>
        </w:rPr>
        <w:t>June</w:t>
      </w:r>
      <w:proofErr w:type="spellEnd"/>
      <w:r w:rsidRPr="00684145">
        <w:rPr>
          <w:rFonts w:eastAsia="Times New Roman"/>
        </w:rPr>
        <w:t xml:space="preserve"> E.</w:t>
      </w:r>
      <w:r w:rsidRPr="00684145">
        <w:rPr>
          <w:rFonts w:eastAsia="Times New Roman"/>
          <w:b/>
        </w:rPr>
        <w:t xml:space="preserve"> A mulher brasileira e suas lutas sociais e políticas: </w:t>
      </w:r>
      <w:r w:rsidRPr="00684145">
        <w:rPr>
          <w:rFonts w:eastAsia="Times New Roman"/>
        </w:rPr>
        <w:t>1850-1937. São Paulo: Brasiliense, 1981.</w:t>
      </w:r>
    </w:p>
    <w:p w14:paraId="1EF1A036" w14:textId="77777777" w:rsidR="00E00461" w:rsidRDefault="00E00461" w:rsidP="00E00461">
      <w:pPr>
        <w:jc w:val="both"/>
        <w:rPr>
          <w:rFonts w:eastAsia="Times New Roman"/>
        </w:rPr>
      </w:pPr>
    </w:p>
    <w:p w14:paraId="24639D37" w14:textId="155AE8C5" w:rsidR="00394323" w:rsidRDefault="00394323" w:rsidP="00E00461">
      <w:pPr>
        <w:jc w:val="both"/>
        <w:rPr>
          <w:rFonts w:eastAsia="Times New Roman"/>
        </w:rPr>
      </w:pPr>
      <w:r w:rsidRPr="00684145">
        <w:rPr>
          <w:rFonts w:eastAsia="Times New Roman"/>
        </w:rPr>
        <w:t>KHEL, Maria Rita.</w:t>
      </w:r>
      <w:r w:rsidRPr="00684145">
        <w:rPr>
          <w:rFonts w:eastAsia="Times New Roman"/>
          <w:b/>
        </w:rPr>
        <w:t xml:space="preserve"> Deslocamento do feminismo: </w:t>
      </w:r>
      <w:r w:rsidRPr="00684145">
        <w:rPr>
          <w:rFonts w:eastAsia="Times New Roman"/>
        </w:rPr>
        <w:t xml:space="preserve">a mulher freudiana na passagem para a modernidade. 2. ed. São Paulo: </w:t>
      </w:r>
      <w:proofErr w:type="spellStart"/>
      <w:r w:rsidRPr="00684145">
        <w:rPr>
          <w:rFonts w:eastAsia="Times New Roman"/>
        </w:rPr>
        <w:t>Boitempo</w:t>
      </w:r>
      <w:proofErr w:type="spellEnd"/>
      <w:r w:rsidRPr="00684145">
        <w:rPr>
          <w:rFonts w:eastAsia="Times New Roman"/>
        </w:rPr>
        <w:t>, 2016.</w:t>
      </w:r>
    </w:p>
    <w:p w14:paraId="5BA082EA" w14:textId="77777777" w:rsidR="00E00461" w:rsidRDefault="00E00461" w:rsidP="00E00461">
      <w:pPr>
        <w:jc w:val="both"/>
        <w:rPr>
          <w:rFonts w:eastAsia="Times New Roman"/>
        </w:rPr>
      </w:pPr>
    </w:p>
    <w:p w14:paraId="1C9310F0" w14:textId="116BBA4E" w:rsidR="00394323" w:rsidRDefault="00394323" w:rsidP="00E00461">
      <w:pPr>
        <w:jc w:val="both"/>
        <w:rPr>
          <w:rFonts w:eastAsia="Times New Roman"/>
        </w:rPr>
      </w:pPr>
      <w:r w:rsidRPr="00684145">
        <w:rPr>
          <w:rFonts w:eastAsia="Times New Roman"/>
        </w:rPr>
        <w:lastRenderedPageBreak/>
        <w:t xml:space="preserve">MADALENO, Rolf. </w:t>
      </w:r>
      <w:r w:rsidRPr="00684145">
        <w:rPr>
          <w:rFonts w:eastAsia="Times New Roman"/>
          <w:b/>
        </w:rPr>
        <w:t>Alimentos Compensatórios</w:t>
      </w:r>
      <w:r>
        <w:rPr>
          <w:rFonts w:eastAsia="Times New Roman"/>
        </w:rPr>
        <w:t xml:space="preserve"> (</w:t>
      </w:r>
      <w:proofErr w:type="spellStart"/>
      <w:r>
        <w:rPr>
          <w:rFonts w:eastAsia="Times New Roman"/>
        </w:rPr>
        <w:t>Portuguese</w:t>
      </w:r>
      <w:proofErr w:type="spellEnd"/>
      <w:r>
        <w:rPr>
          <w:rFonts w:eastAsia="Times New Roman"/>
        </w:rPr>
        <w:t xml:space="preserve"> </w:t>
      </w:r>
      <w:proofErr w:type="spellStart"/>
      <w:r>
        <w:rPr>
          <w:rFonts w:eastAsia="Times New Roman"/>
        </w:rPr>
        <w:t>Edition</w:t>
      </w:r>
      <w:proofErr w:type="spellEnd"/>
      <w:r>
        <w:rPr>
          <w:rFonts w:eastAsia="Times New Roman"/>
        </w:rPr>
        <w:t>)</w:t>
      </w:r>
      <w:r w:rsidRPr="00684145">
        <w:rPr>
          <w:rFonts w:eastAsia="Times New Roman"/>
        </w:rPr>
        <w:t>. Edição do Kindle, 2024.</w:t>
      </w:r>
    </w:p>
    <w:p w14:paraId="6CD6EAF2" w14:textId="77777777" w:rsidR="00E00461" w:rsidRDefault="00E00461" w:rsidP="00E00461">
      <w:pPr>
        <w:jc w:val="both"/>
        <w:rPr>
          <w:rFonts w:eastAsia="Times New Roman"/>
        </w:rPr>
      </w:pPr>
    </w:p>
    <w:p w14:paraId="50FD8561" w14:textId="63ED3295" w:rsidR="00394323" w:rsidRDefault="00394323" w:rsidP="00E00461">
      <w:pPr>
        <w:jc w:val="both"/>
        <w:rPr>
          <w:rFonts w:eastAsia="Times New Roman"/>
        </w:rPr>
      </w:pPr>
      <w:r w:rsidRPr="00684145">
        <w:rPr>
          <w:rFonts w:eastAsia="Times New Roman"/>
        </w:rPr>
        <w:t xml:space="preserve">MADALENO, Rolf. </w:t>
      </w:r>
      <w:r w:rsidRPr="00684145">
        <w:rPr>
          <w:rFonts w:eastAsia="Times New Roman"/>
          <w:b/>
        </w:rPr>
        <w:t>Manual de Direito de Família</w:t>
      </w:r>
      <w:r w:rsidRPr="00684145">
        <w:rPr>
          <w:rFonts w:eastAsia="Times New Roman"/>
        </w:rPr>
        <w:t>. Rio de Janeiro: Forense, 2018</w:t>
      </w:r>
      <w:r>
        <w:rPr>
          <w:rFonts w:eastAsia="Times New Roman"/>
        </w:rPr>
        <w:t>.</w:t>
      </w:r>
    </w:p>
    <w:p w14:paraId="1DBA7A4A" w14:textId="77777777" w:rsidR="00E00461" w:rsidRPr="00684145" w:rsidRDefault="00E00461" w:rsidP="00E00461">
      <w:pPr>
        <w:jc w:val="both"/>
        <w:rPr>
          <w:rFonts w:eastAsia="Times New Roman"/>
        </w:rPr>
      </w:pPr>
    </w:p>
    <w:p w14:paraId="28F2AAF0" w14:textId="18F27066" w:rsidR="00394323" w:rsidRDefault="00394323" w:rsidP="00E00461">
      <w:pPr>
        <w:jc w:val="both"/>
        <w:rPr>
          <w:rFonts w:eastAsia="Times New Roman"/>
        </w:rPr>
      </w:pPr>
      <w:r w:rsidRPr="00684145">
        <w:rPr>
          <w:rFonts w:eastAsia="Times New Roman"/>
        </w:rPr>
        <w:t xml:space="preserve">MADALENO, Rolf. </w:t>
      </w:r>
      <w:r w:rsidRPr="00684145">
        <w:rPr>
          <w:rFonts w:eastAsia="Times New Roman"/>
          <w:b/>
        </w:rPr>
        <w:t>Manual de Direito de Família</w:t>
      </w:r>
      <w:r>
        <w:rPr>
          <w:rFonts w:eastAsia="Times New Roman"/>
        </w:rPr>
        <w:t>. Rio de Janeiro:</w:t>
      </w:r>
      <w:r w:rsidRPr="00684145">
        <w:rPr>
          <w:rFonts w:eastAsia="Times New Roman"/>
        </w:rPr>
        <w:t xml:space="preserve"> </w:t>
      </w:r>
      <w:r>
        <w:rPr>
          <w:rFonts w:eastAsia="Times New Roman"/>
        </w:rPr>
        <w:t xml:space="preserve">Forense, </w:t>
      </w:r>
      <w:r w:rsidRPr="00684145">
        <w:rPr>
          <w:rFonts w:eastAsia="Times New Roman"/>
        </w:rPr>
        <w:t>2022</w:t>
      </w:r>
      <w:r>
        <w:rPr>
          <w:rFonts w:eastAsia="Times New Roman"/>
        </w:rPr>
        <w:t>.</w:t>
      </w:r>
    </w:p>
    <w:p w14:paraId="27CEC58F" w14:textId="77777777" w:rsidR="00E00461" w:rsidRPr="00684145" w:rsidRDefault="00E00461" w:rsidP="00E00461">
      <w:pPr>
        <w:jc w:val="both"/>
        <w:rPr>
          <w:rFonts w:eastAsia="Times New Roman"/>
        </w:rPr>
      </w:pPr>
    </w:p>
    <w:p w14:paraId="009484B8" w14:textId="6176193C" w:rsidR="00394323" w:rsidRDefault="00394323" w:rsidP="00E00461">
      <w:pPr>
        <w:jc w:val="both"/>
        <w:rPr>
          <w:rFonts w:eastAsia="Times New Roman"/>
        </w:rPr>
      </w:pPr>
      <w:r>
        <w:rPr>
          <w:rFonts w:eastAsia="Times New Roman"/>
        </w:rPr>
        <w:t>SUPERIOR TRIBUNAL DE JUSTIÇA</w:t>
      </w:r>
      <w:r w:rsidRPr="00684145">
        <w:rPr>
          <w:rFonts w:eastAsia="Times New Roman"/>
        </w:rPr>
        <w:t xml:space="preserve">. </w:t>
      </w:r>
      <w:proofErr w:type="spellStart"/>
      <w:r w:rsidRPr="00684145">
        <w:rPr>
          <w:rFonts w:eastAsia="Times New Roman"/>
          <w:b/>
        </w:rPr>
        <w:t>REsp</w:t>
      </w:r>
      <w:proofErr w:type="spellEnd"/>
      <w:r w:rsidRPr="00684145">
        <w:rPr>
          <w:rFonts w:eastAsia="Times New Roman"/>
          <w:b/>
        </w:rPr>
        <w:t>: 1290313 AL 2011/0236970-2</w:t>
      </w:r>
      <w:r w:rsidRPr="00684145">
        <w:rPr>
          <w:rFonts w:eastAsia="Times New Roman"/>
        </w:rPr>
        <w:t xml:space="preserve">. Relator: Ministro Antônio Carlos. Data de Julgamento: 12.11.2013, T4 - Quarta Turma, Data de Publicação: </w:t>
      </w:r>
      <w:proofErr w:type="spellStart"/>
      <w:r w:rsidRPr="00684145">
        <w:rPr>
          <w:rFonts w:eastAsia="Times New Roman"/>
        </w:rPr>
        <w:t>DJe</w:t>
      </w:r>
      <w:proofErr w:type="spellEnd"/>
      <w:r w:rsidRPr="00684145">
        <w:rPr>
          <w:rFonts w:eastAsia="Times New Roman"/>
        </w:rPr>
        <w:t xml:space="preserve"> 07.11.2014).</w:t>
      </w:r>
    </w:p>
    <w:p w14:paraId="0AB30105" w14:textId="77777777" w:rsidR="00E00461" w:rsidRDefault="00E00461" w:rsidP="00E00461">
      <w:pPr>
        <w:jc w:val="both"/>
        <w:rPr>
          <w:rFonts w:eastAsia="Times New Roman"/>
        </w:rPr>
      </w:pPr>
    </w:p>
    <w:p w14:paraId="5CB43DEA" w14:textId="77777777" w:rsidR="00394323" w:rsidRPr="00684145" w:rsidRDefault="00394323" w:rsidP="00E00461">
      <w:pPr>
        <w:spacing w:after="240"/>
        <w:jc w:val="both"/>
        <w:rPr>
          <w:rFonts w:eastAsia="Times New Roman"/>
        </w:rPr>
      </w:pPr>
      <w:r>
        <w:rPr>
          <w:rFonts w:eastAsia="Times New Roman"/>
        </w:rPr>
        <w:t>TRIBUNAL DE JUSTIÇA DE MINAS GERAIS</w:t>
      </w:r>
      <w:r>
        <w:rPr>
          <w:rFonts w:eastAsia="Times New Roman"/>
          <w:b/>
        </w:rPr>
        <w:t xml:space="preserve">. </w:t>
      </w:r>
      <w:r w:rsidRPr="00684145">
        <w:rPr>
          <w:rFonts w:eastAsia="Times New Roman"/>
          <w:b/>
        </w:rPr>
        <w:t>Agravo de Instrumento   1.0000.23.321996-3/002</w:t>
      </w:r>
      <w:r w:rsidRPr="00684145">
        <w:rPr>
          <w:rFonts w:eastAsia="Times New Roman"/>
        </w:rPr>
        <w:t xml:space="preserve">, Relator(a): Des.(a) </w:t>
      </w:r>
      <w:proofErr w:type="spellStart"/>
      <w:r w:rsidRPr="00684145">
        <w:rPr>
          <w:rFonts w:eastAsia="Times New Roman"/>
        </w:rPr>
        <w:t>Élito</w:t>
      </w:r>
      <w:proofErr w:type="spellEnd"/>
      <w:r w:rsidRPr="00684145">
        <w:rPr>
          <w:rFonts w:eastAsia="Times New Roman"/>
        </w:rPr>
        <w:t xml:space="preserve"> Batista de Almeida, 4° Câmara Cível Especializada, julgamento em 14/10/2024, publicação da súmula em 15/10/2024.</w:t>
      </w:r>
    </w:p>
    <w:p w14:paraId="09B82742" w14:textId="77777777" w:rsidR="00394323" w:rsidRPr="00684145" w:rsidRDefault="00394323" w:rsidP="00E00461">
      <w:pPr>
        <w:spacing w:after="240"/>
        <w:jc w:val="both"/>
        <w:rPr>
          <w:rFonts w:eastAsia="Times New Roman"/>
          <w:highlight w:val="white"/>
        </w:rPr>
      </w:pPr>
      <w:r>
        <w:rPr>
          <w:rFonts w:eastAsia="Times New Roman"/>
        </w:rPr>
        <w:t>TRIBUNAL DE JUSTIÇA DE MINAS GERAIS</w:t>
      </w:r>
      <w:r>
        <w:rPr>
          <w:rFonts w:eastAsia="Times New Roman"/>
          <w:b/>
          <w:highlight w:val="white"/>
        </w:rPr>
        <w:t xml:space="preserve">. </w:t>
      </w:r>
      <w:r w:rsidRPr="00684145">
        <w:rPr>
          <w:rFonts w:eastAsia="Times New Roman"/>
          <w:b/>
          <w:highlight w:val="white"/>
        </w:rPr>
        <w:t>Agravo de Instrumento 1.0000.23.282999-4/001,</w:t>
      </w:r>
      <w:r w:rsidRPr="00684145">
        <w:rPr>
          <w:rFonts w:eastAsia="Times New Roman"/>
          <w:highlight w:val="white"/>
        </w:rPr>
        <w:t xml:space="preserve"> Relator(a): Des.(a) Pedro Aleixo. 4ª Câmara Cível Especializada, julgamento em 31/10/2024, publicação da súmula em 01/11/2024.</w:t>
      </w:r>
    </w:p>
    <w:p w14:paraId="78C6C778" w14:textId="77777777" w:rsidR="00394323" w:rsidRPr="00684145" w:rsidRDefault="00394323" w:rsidP="00E00461">
      <w:pPr>
        <w:spacing w:after="240"/>
        <w:jc w:val="both"/>
        <w:rPr>
          <w:rFonts w:eastAsia="Times New Roman"/>
        </w:rPr>
      </w:pPr>
      <w:r>
        <w:rPr>
          <w:rFonts w:eastAsia="Times New Roman"/>
        </w:rPr>
        <w:t>TRIBUNAL DE JUSTIÇA DE MINAS GERAIS</w:t>
      </w:r>
      <w:r>
        <w:rPr>
          <w:rFonts w:eastAsia="Times New Roman"/>
          <w:b/>
        </w:rPr>
        <w:t xml:space="preserve">. </w:t>
      </w:r>
      <w:r w:rsidRPr="00684145">
        <w:rPr>
          <w:rFonts w:eastAsia="Times New Roman"/>
          <w:b/>
        </w:rPr>
        <w:t>Agravo de Instrumento 1.0000.24.331539-7/001</w:t>
      </w:r>
      <w:r w:rsidRPr="00684145">
        <w:rPr>
          <w:rFonts w:eastAsia="Times New Roman"/>
        </w:rPr>
        <w:t>. Relator(a): Des.(a) Francisco Ricardo Sales Costa, 4° Câmara Cível Especializada, julgamento em 11/10/2024, publicação da súmula em 14/10/2024.</w:t>
      </w:r>
    </w:p>
    <w:p w14:paraId="7CDF4525" w14:textId="77777777" w:rsidR="00394323" w:rsidRPr="00684145" w:rsidRDefault="00394323" w:rsidP="00E00461">
      <w:pPr>
        <w:spacing w:after="240"/>
        <w:jc w:val="both"/>
        <w:rPr>
          <w:rFonts w:eastAsia="Times New Roman"/>
          <w:highlight w:val="white"/>
        </w:rPr>
      </w:pPr>
      <w:r>
        <w:rPr>
          <w:rFonts w:eastAsia="Times New Roman"/>
        </w:rPr>
        <w:t xml:space="preserve">TRIBUNAL DE JUSTIÇA DE MINAS GERAIS. </w:t>
      </w:r>
      <w:r w:rsidRPr="00684145">
        <w:rPr>
          <w:rFonts w:eastAsia="Times New Roman"/>
          <w:b/>
        </w:rPr>
        <w:t xml:space="preserve">Apelação </w:t>
      </w:r>
      <w:proofErr w:type="gramStart"/>
      <w:r w:rsidRPr="00684145">
        <w:rPr>
          <w:rFonts w:eastAsia="Times New Roman"/>
          <w:b/>
        </w:rPr>
        <w:t>Cível  1.0000.24.151303</w:t>
      </w:r>
      <w:proofErr w:type="gramEnd"/>
      <w:r w:rsidRPr="00684145">
        <w:rPr>
          <w:rFonts w:eastAsia="Times New Roman"/>
          <w:b/>
        </w:rPr>
        <w:t>-5/001</w:t>
      </w:r>
      <w:r w:rsidRPr="00684145">
        <w:rPr>
          <w:rFonts w:eastAsia="Times New Roman"/>
        </w:rPr>
        <w:t>, Relator(a): Des.(a) Alexandre Santiago , 8ª Câmara Cível Especializada, julgamento em 27/06/2024, publicação da súmula em 01/07/2024.</w:t>
      </w:r>
    </w:p>
    <w:p w14:paraId="1C6C94B4" w14:textId="77777777" w:rsidR="00394323" w:rsidRPr="00684145" w:rsidRDefault="00394323" w:rsidP="00E00461">
      <w:pPr>
        <w:spacing w:after="240"/>
        <w:jc w:val="both"/>
        <w:rPr>
          <w:rFonts w:eastAsia="Times New Roman"/>
        </w:rPr>
      </w:pPr>
      <w:r>
        <w:rPr>
          <w:rFonts w:eastAsia="Times New Roman"/>
        </w:rPr>
        <w:t>TRIBUNAL DE JUSTIÇA DE MINAS GERAIS</w:t>
      </w:r>
      <w:r w:rsidRPr="00684145">
        <w:rPr>
          <w:rFonts w:eastAsia="Times New Roman"/>
        </w:rPr>
        <w:t xml:space="preserve">. </w:t>
      </w:r>
      <w:r w:rsidRPr="00684145">
        <w:rPr>
          <w:rFonts w:eastAsia="Times New Roman"/>
          <w:b/>
        </w:rPr>
        <w:t>Apelação Cível 1.0000.22.033559-0/004</w:t>
      </w:r>
      <w:r w:rsidRPr="00684145">
        <w:rPr>
          <w:rFonts w:eastAsia="Times New Roman"/>
        </w:rPr>
        <w:t xml:space="preserve">, </w:t>
      </w:r>
      <w:proofErr w:type="gramStart"/>
      <w:r w:rsidRPr="00684145">
        <w:rPr>
          <w:rFonts w:eastAsia="Times New Roman"/>
        </w:rPr>
        <w:t>Relator(</w:t>
      </w:r>
      <w:proofErr w:type="gramEnd"/>
      <w:r w:rsidRPr="00684145">
        <w:rPr>
          <w:rFonts w:eastAsia="Times New Roman"/>
        </w:rPr>
        <w:t>a): Des.(a) Eduardo Gomes dos Reis (JD Convocado) , 4ª Câmara Cível Especializada, julgamento em 08/08/2024, publicação da súmula em 12/08/2024)</w:t>
      </w:r>
    </w:p>
    <w:p w14:paraId="0C918566" w14:textId="77777777" w:rsidR="00394323" w:rsidRPr="00684145" w:rsidRDefault="00394323" w:rsidP="00E00461">
      <w:pPr>
        <w:spacing w:after="240"/>
        <w:jc w:val="both"/>
        <w:rPr>
          <w:rFonts w:eastAsia="Times New Roman"/>
        </w:rPr>
      </w:pPr>
      <w:r>
        <w:rPr>
          <w:rFonts w:eastAsia="Times New Roman"/>
        </w:rPr>
        <w:t>TRIBUNAL DE JUSTIÇA DE MINAS GERAIS</w:t>
      </w:r>
      <w:r>
        <w:rPr>
          <w:rFonts w:eastAsia="Times New Roman"/>
          <w:b/>
        </w:rPr>
        <w:t xml:space="preserve">. </w:t>
      </w:r>
      <w:r w:rsidRPr="00684145">
        <w:rPr>
          <w:rFonts w:eastAsia="Times New Roman"/>
          <w:b/>
        </w:rPr>
        <w:t>Apelação Cível 1.0000.22.191884-0/003</w:t>
      </w:r>
      <w:r w:rsidRPr="00684145">
        <w:rPr>
          <w:rFonts w:eastAsia="Times New Roman"/>
        </w:rPr>
        <w:t xml:space="preserve">, Relator(a): Des.(a) Paulo Rogério de Souza Abrantes (JD Convocado), Câmara Justiça 4.0 - </w:t>
      </w:r>
      <w:proofErr w:type="spellStart"/>
      <w:r w:rsidRPr="00684145">
        <w:rPr>
          <w:rFonts w:eastAsia="Times New Roman"/>
        </w:rPr>
        <w:t>Especiali</w:t>
      </w:r>
      <w:proofErr w:type="spellEnd"/>
      <w:r w:rsidRPr="00684145">
        <w:rPr>
          <w:rFonts w:eastAsia="Times New Roman"/>
        </w:rPr>
        <w:t>, julgamento em 13/09/2024, publicação da súmula em 13/09/2024.</w:t>
      </w:r>
    </w:p>
    <w:p w14:paraId="45B762E3" w14:textId="24EFA3C8" w:rsidR="00394323" w:rsidRDefault="00394323" w:rsidP="00E00461">
      <w:pPr>
        <w:spacing w:after="240"/>
        <w:jc w:val="both"/>
        <w:rPr>
          <w:rFonts w:eastAsia="Times New Roman"/>
        </w:rPr>
      </w:pPr>
      <w:r>
        <w:rPr>
          <w:rFonts w:eastAsia="Times New Roman"/>
        </w:rPr>
        <w:t>TRIBUNAL DE JUSTIÇA DE MINAS GERAIS</w:t>
      </w:r>
      <w:r w:rsidRPr="00684145">
        <w:rPr>
          <w:rFonts w:eastAsia="Times New Roman"/>
        </w:rPr>
        <w:t xml:space="preserve">. </w:t>
      </w:r>
      <w:r w:rsidRPr="00684145">
        <w:rPr>
          <w:rFonts w:eastAsia="Times New Roman"/>
          <w:b/>
        </w:rPr>
        <w:t>Apelação Cível 1.0000.24.185888-5/001</w:t>
      </w:r>
      <w:r w:rsidRPr="00684145">
        <w:rPr>
          <w:rFonts w:eastAsia="Times New Roman"/>
        </w:rPr>
        <w:t xml:space="preserve">, </w:t>
      </w:r>
      <w:proofErr w:type="gramStart"/>
      <w:r w:rsidRPr="00684145">
        <w:rPr>
          <w:rFonts w:eastAsia="Times New Roman"/>
        </w:rPr>
        <w:t>Relator(</w:t>
      </w:r>
      <w:proofErr w:type="gramEnd"/>
      <w:r w:rsidRPr="00684145">
        <w:rPr>
          <w:rFonts w:eastAsia="Times New Roman"/>
        </w:rPr>
        <w:t xml:space="preserve">a): Des.(a) Francisco Ricardo Sales Costa (JD 2G) , Câmara Justiça 4.0 - </w:t>
      </w:r>
      <w:proofErr w:type="spellStart"/>
      <w:r w:rsidRPr="00684145">
        <w:rPr>
          <w:rFonts w:eastAsia="Times New Roman"/>
        </w:rPr>
        <w:t>Especiali</w:t>
      </w:r>
      <w:proofErr w:type="spellEnd"/>
      <w:r w:rsidRPr="00684145">
        <w:rPr>
          <w:rFonts w:eastAsia="Times New Roman"/>
        </w:rPr>
        <w:t>, julgamento em 19/07/2024, publicação da súmula em 22/07/2024.</w:t>
      </w:r>
    </w:p>
    <w:p w14:paraId="186AF99D" w14:textId="77777777" w:rsidR="00394323" w:rsidRPr="00684145" w:rsidRDefault="00394323" w:rsidP="00684145">
      <w:pPr>
        <w:spacing w:before="240" w:after="240"/>
        <w:jc w:val="both"/>
        <w:rPr>
          <w:rFonts w:eastAsia="Times New Roman"/>
        </w:rPr>
      </w:pPr>
    </w:p>
    <w:sectPr w:rsidR="00394323" w:rsidRPr="00684145" w:rsidSect="00800975">
      <w:headerReference w:type="first" r:id="rId16"/>
      <w:pgSz w:w="11909" w:h="16834"/>
      <w:pgMar w:top="1701" w:right="1134" w:bottom="1134" w:left="1701" w:header="72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DE169" w14:textId="77777777" w:rsidR="008300DA" w:rsidRDefault="008300DA" w:rsidP="00FF77D6">
      <w:r>
        <w:separator/>
      </w:r>
    </w:p>
  </w:endnote>
  <w:endnote w:type="continuationSeparator" w:id="0">
    <w:p w14:paraId="63AD677E" w14:textId="77777777" w:rsidR="008300DA" w:rsidRDefault="008300DA" w:rsidP="00FF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F">
    <w:altName w:val="Calibri"/>
    <w:charset w:val="00"/>
    <w:family w:val="auto"/>
    <w:pitch w:val="variable"/>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EF4B2" w14:textId="77777777" w:rsidR="008300DA" w:rsidRDefault="008300DA" w:rsidP="00FF77D6">
      <w:r>
        <w:separator/>
      </w:r>
    </w:p>
  </w:footnote>
  <w:footnote w:type="continuationSeparator" w:id="0">
    <w:p w14:paraId="690489C8" w14:textId="77777777" w:rsidR="008300DA" w:rsidRDefault="008300DA" w:rsidP="00FF77D6">
      <w:r>
        <w:continuationSeparator/>
      </w:r>
    </w:p>
  </w:footnote>
  <w:footnote w:id="1">
    <w:p w14:paraId="1E99F131" w14:textId="6847DB71" w:rsidR="00B8082F" w:rsidRPr="001565D9" w:rsidRDefault="00B8082F" w:rsidP="001565D9">
      <w:pPr>
        <w:jc w:val="both"/>
        <w:rPr>
          <w:rFonts w:eastAsia="Times New Roman"/>
          <w:sz w:val="20"/>
          <w:szCs w:val="20"/>
        </w:rPr>
      </w:pPr>
      <w:r w:rsidRPr="001565D9">
        <w:rPr>
          <w:rStyle w:val="Refdenotaderodap"/>
          <w:sz w:val="20"/>
          <w:szCs w:val="20"/>
        </w:rPr>
        <w:footnoteRef/>
      </w:r>
      <w:r w:rsidRPr="001565D9">
        <w:rPr>
          <w:sz w:val="20"/>
          <w:szCs w:val="20"/>
        </w:rPr>
        <w:t xml:space="preserve"> </w:t>
      </w:r>
      <w:r w:rsidRPr="001565D9">
        <w:rPr>
          <w:bCs/>
          <w:sz w:val="20"/>
          <w:szCs w:val="20"/>
        </w:rPr>
        <w:t xml:space="preserve">Graduada em Direito pela Fundação Comunitária de Ensino Superior de Itabira - UNIFUNCESI, Brasil; Advogada – </w:t>
      </w:r>
      <w:hyperlink r:id="rId1" w:tgtFrame="_blank" w:history="1">
        <w:r w:rsidR="001565D9" w:rsidRPr="001565D9">
          <w:rPr>
            <w:rStyle w:val="Hiperlink"/>
            <w:rFonts w:eastAsia="Times New Roman"/>
            <w:color w:val="1155CC"/>
            <w:sz w:val="20"/>
            <w:szCs w:val="20"/>
          </w:rPr>
          <w:t>grazieledai1234@gmail.com</w:t>
        </w:r>
      </w:hyperlink>
    </w:p>
  </w:footnote>
  <w:footnote w:id="2">
    <w:p w14:paraId="12C6B7D3" w14:textId="17F9E160" w:rsidR="00B8082F" w:rsidRPr="001565D9" w:rsidRDefault="00B8082F" w:rsidP="001565D9">
      <w:pPr>
        <w:jc w:val="both"/>
        <w:rPr>
          <w:rFonts w:eastAsia="Times New Roman"/>
          <w:sz w:val="20"/>
          <w:szCs w:val="20"/>
        </w:rPr>
      </w:pPr>
      <w:r w:rsidRPr="001565D9">
        <w:rPr>
          <w:rStyle w:val="Refdenotaderodap"/>
          <w:sz w:val="20"/>
          <w:szCs w:val="20"/>
        </w:rPr>
        <w:footnoteRef/>
      </w:r>
      <w:r w:rsidRPr="001565D9">
        <w:rPr>
          <w:sz w:val="20"/>
          <w:szCs w:val="20"/>
        </w:rPr>
        <w:t xml:space="preserve"> </w:t>
      </w:r>
      <w:r w:rsidRPr="001565D9">
        <w:rPr>
          <w:bCs/>
          <w:sz w:val="20"/>
          <w:szCs w:val="20"/>
        </w:rPr>
        <w:t>Graduada em Direito pela Fundação Comunitária de Ensino Superior de Itabira - UNIFUNCESI, Brasil; Advogada - </w:t>
      </w:r>
      <w:hyperlink r:id="rId2" w:tgtFrame="_blank" w:history="1">
        <w:r w:rsidR="001565D9" w:rsidRPr="001565D9">
          <w:rPr>
            <w:rStyle w:val="Hiperlink"/>
            <w:rFonts w:eastAsia="Times New Roman"/>
            <w:color w:val="1155CC"/>
            <w:sz w:val="20"/>
            <w:szCs w:val="20"/>
          </w:rPr>
          <w:t>laugsoliveira1207@gmail.com</w:t>
        </w:r>
      </w:hyperlink>
    </w:p>
  </w:footnote>
  <w:footnote w:id="3">
    <w:p w14:paraId="6C86D704" w14:textId="77777777" w:rsidR="00B8082F" w:rsidRPr="001565D9" w:rsidRDefault="00B8082F" w:rsidP="001565D9">
      <w:pPr>
        <w:jc w:val="both"/>
        <w:rPr>
          <w:bCs/>
          <w:sz w:val="20"/>
          <w:szCs w:val="20"/>
        </w:rPr>
      </w:pPr>
      <w:r w:rsidRPr="001565D9">
        <w:rPr>
          <w:rStyle w:val="Refdenotaderodap"/>
          <w:sz w:val="20"/>
          <w:szCs w:val="20"/>
        </w:rPr>
        <w:footnoteRef/>
      </w:r>
      <w:r w:rsidRPr="001565D9">
        <w:rPr>
          <w:sz w:val="20"/>
          <w:szCs w:val="20"/>
        </w:rPr>
        <w:t xml:space="preserve"> </w:t>
      </w:r>
      <w:r w:rsidRPr="001565D9">
        <w:rPr>
          <w:bCs/>
          <w:sz w:val="20"/>
          <w:szCs w:val="20"/>
        </w:rPr>
        <w:t xml:space="preserve">Mestre em Direito Privado. Pós-graduação/Especialização em Direito Privado. Docente no Centro Universitário </w:t>
      </w:r>
      <w:proofErr w:type="spellStart"/>
      <w:r w:rsidRPr="001565D9">
        <w:rPr>
          <w:bCs/>
          <w:sz w:val="20"/>
          <w:szCs w:val="20"/>
        </w:rPr>
        <w:t>Funcesi</w:t>
      </w:r>
      <w:proofErr w:type="spellEnd"/>
      <w:r w:rsidRPr="001565D9">
        <w:rPr>
          <w:bCs/>
          <w:sz w:val="20"/>
          <w:szCs w:val="20"/>
        </w:rPr>
        <w:t>/UNIFUNCESI. Auditor Fiscal de Tributos no Município de Itabira-MG. aluisio.oliveira@funcesi.br</w:t>
      </w:r>
    </w:p>
  </w:footnote>
  <w:footnote w:id="4">
    <w:p w14:paraId="64D3959C" w14:textId="77777777" w:rsidR="00A246B7" w:rsidRPr="005C16C5" w:rsidRDefault="00A246B7" w:rsidP="00A246B7">
      <w:pPr>
        <w:jc w:val="both"/>
        <w:rPr>
          <w:rFonts w:eastAsia="Times New Roman"/>
          <w:sz w:val="20"/>
          <w:szCs w:val="20"/>
        </w:rPr>
      </w:pPr>
      <w:r w:rsidRPr="00F71CD3">
        <w:rPr>
          <w:rStyle w:val="Refdenotaderodap"/>
          <w:sz w:val="20"/>
          <w:szCs w:val="20"/>
        </w:rPr>
        <w:footnoteRef/>
      </w:r>
      <w:r w:rsidRPr="00F71CD3">
        <w:rPr>
          <w:sz w:val="20"/>
          <w:szCs w:val="20"/>
        </w:rPr>
        <w:t xml:space="preserve"> </w:t>
      </w:r>
      <w:r w:rsidRPr="00F71CD3">
        <w:rPr>
          <w:bCs/>
          <w:sz w:val="20"/>
          <w:szCs w:val="20"/>
        </w:rPr>
        <w:t xml:space="preserve">Mestranda em Ciências Jurídicas, Pós-graduação/Especialização em Direito Privado e Processo Civil, </w:t>
      </w:r>
      <w:r w:rsidRPr="005C16C5">
        <w:rPr>
          <w:bCs/>
          <w:sz w:val="20"/>
          <w:szCs w:val="20"/>
        </w:rPr>
        <w:t xml:space="preserve">Docente no Centro Universitário </w:t>
      </w:r>
      <w:proofErr w:type="spellStart"/>
      <w:r w:rsidRPr="005C16C5">
        <w:rPr>
          <w:bCs/>
          <w:sz w:val="20"/>
          <w:szCs w:val="20"/>
        </w:rPr>
        <w:t>Funcesi</w:t>
      </w:r>
      <w:proofErr w:type="spellEnd"/>
      <w:r w:rsidRPr="005C16C5">
        <w:rPr>
          <w:bCs/>
          <w:sz w:val="20"/>
          <w:szCs w:val="20"/>
        </w:rPr>
        <w:t xml:space="preserve">/UNIFUNCESI, </w:t>
      </w:r>
      <w:r>
        <w:rPr>
          <w:bCs/>
          <w:sz w:val="20"/>
          <w:szCs w:val="20"/>
        </w:rPr>
        <w:t xml:space="preserve">Advogada Pública no SAAE Itabira, </w:t>
      </w:r>
      <w:hyperlink r:id="rId3" w:history="1">
        <w:r w:rsidRPr="00217CD2">
          <w:rPr>
            <w:rStyle w:val="Hiperlink"/>
            <w:sz w:val="20"/>
            <w:szCs w:val="20"/>
          </w:rPr>
          <w:t>camila.diniz@funcesi.br</w:t>
        </w:r>
      </w:hyperlink>
    </w:p>
  </w:footnote>
  <w:footnote w:id="5">
    <w:p w14:paraId="0BF3AB98" w14:textId="77777777" w:rsidR="00B8082F" w:rsidRPr="001565D9" w:rsidRDefault="00B8082F" w:rsidP="001565D9">
      <w:pPr>
        <w:pStyle w:val="Textodenotaderodap"/>
        <w:jc w:val="both"/>
        <w:rPr>
          <w:rFonts w:ascii="Times New Roman" w:hAnsi="Times New Roman" w:cs="Times New Roman"/>
          <w:bCs/>
        </w:rPr>
      </w:pPr>
      <w:r w:rsidRPr="001565D9">
        <w:rPr>
          <w:rStyle w:val="Refdenotaderodap"/>
          <w:rFonts w:ascii="Times New Roman" w:hAnsi="Times New Roman" w:cs="Times New Roman"/>
        </w:rPr>
        <w:footnoteRef/>
      </w:r>
      <w:r w:rsidRPr="001565D9">
        <w:rPr>
          <w:rFonts w:ascii="Times New Roman" w:hAnsi="Times New Roman" w:cs="Times New Roman"/>
        </w:rPr>
        <w:t xml:space="preserve"> </w:t>
      </w:r>
      <w:r w:rsidRPr="001565D9">
        <w:rPr>
          <w:rFonts w:ascii="Times New Roman" w:hAnsi="Times New Roman" w:cs="Times New Roman"/>
          <w:bCs/>
        </w:rPr>
        <w:t xml:space="preserve">Graduado em Direito pela (UNIFENAS 2004); pós-graduado em MBA – Gestão Empresarial com Ênfase em Gestão de Pessoas (FUNCESI 2011); pós-graduado em Ciências Criminais (Universidade Gama Filho 2009). Docente no Centro Universitário </w:t>
      </w:r>
      <w:proofErr w:type="spellStart"/>
      <w:r w:rsidRPr="001565D9">
        <w:rPr>
          <w:rFonts w:ascii="Times New Roman" w:hAnsi="Times New Roman" w:cs="Times New Roman"/>
          <w:bCs/>
        </w:rPr>
        <w:t>Funcesi</w:t>
      </w:r>
      <w:proofErr w:type="spellEnd"/>
      <w:r w:rsidRPr="001565D9">
        <w:rPr>
          <w:rFonts w:ascii="Times New Roman" w:hAnsi="Times New Roman" w:cs="Times New Roman"/>
          <w:bCs/>
        </w:rPr>
        <w:t>/UNIFUNCESI. Mestrando em Direito nas Relações Econômicas e Sociais (Milton Campos). alexandre.duarte@funcesi.br</w:t>
      </w:r>
    </w:p>
  </w:footnote>
  <w:footnote w:id="6">
    <w:p w14:paraId="1E0A9281" w14:textId="77777777" w:rsidR="00B8082F" w:rsidRPr="00422254" w:rsidRDefault="00B8082F" w:rsidP="001565D9">
      <w:pPr>
        <w:pStyle w:val="Textodenotaderodap"/>
        <w:jc w:val="both"/>
        <w:rPr>
          <w:rFonts w:ascii="Times New Roman" w:hAnsi="Times New Roman" w:cs="Times New Roman"/>
        </w:rPr>
      </w:pPr>
      <w:r w:rsidRPr="001565D9">
        <w:rPr>
          <w:rStyle w:val="Refdenotaderodap"/>
          <w:rFonts w:ascii="Times New Roman" w:hAnsi="Times New Roman" w:cs="Times New Roman"/>
        </w:rPr>
        <w:footnoteRef/>
      </w:r>
      <w:r w:rsidRPr="001565D9">
        <w:rPr>
          <w:rFonts w:ascii="Times New Roman" w:hAnsi="Times New Roman" w:cs="Times New Roman"/>
        </w:rPr>
        <w:t xml:space="preserve"> </w:t>
      </w:r>
      <w:proofErr w:type="gramStart"/>
      <w:r w:rsidRPr="001565D9">
        <w:rPr>
          <w:rFonts w:ascii="Times New Roman" w:hAnsi="Times New Roman" w:cs="Times New Roman"/>
          <w:bCs/>
        </w:rPr>
        <w:t>Doutor/Mestre</w:t>
      </w:r>
      <w:proofErr w:type="gramEnd"/>
      <w:r w:rsidRPr="001565D9">
        <w:rPr>
          <w:rFonts w:ascii="Times New Roman" w:hAnsi="Times New Roman" w:cs="Times New Roman"/>
          <w:bCs/>
        </w:rPr>
        <w:t xml:space="preserve"> em Administração de Empresas, Professor Titular na Fundação Comunitária de Ensino Superior de Itabira – UNIFUNCESI, Faculdade de Minas Gerais, FAMIG, Faculdade de Sabará, Brasil, </w:t>
      </w:r>
      <w:hyperlink r:id="rId4" w:history="1">
        <w:r w:rsidRPr="001565D9">
          <w:rPr>
            <w:rStyle w:val="Hiperlink"/>
            <w:rFonts w:ascii="Times New Roman" w:hAnsi="Times New Roman" w:cs="Times New Roman"/>
            <w:bCs/>
          </w:rPr>
          <w:t>marcelo.ferreira@funcesi.br</w:t>
        </w:r>
      </w:hyperlink>
      <w:r w:rsidRPr="001565D9">
        <w:rPr>
          <w:rFonts w:ascii="Times New Roman" w:hAnsi="Times New Roman" w:cs="Times New Roman"/>
          <w:bCs/>
        </w:rPr>
        <w:t xml:space="preserve">, </w:t>
      </w:r>
      <w:hyperlink r:id="rId5" w:history="1">
        <w:r w:rsidRPr="001565D9">
          <w:rPr>
            <w:rStyle w:val="Hiperlink"/>
            <w:rFonts w:ascii="Times New Roman" w:hAnsi="Times New Roman" w:cs="Times New Roman"/>
            <w:bCs/>
          </w:rPr>
          <w:t>marcelos.bh01@gmail.com</w:t>
        </w:r>
      </w:hyperlink>
      <w:r w:rsidRPr="001565D9">
        <w:rPr>
          <w:rFonts w:ascii="Times New Roman" w:hAnsi="Times New Roman" w:cs="Times New Roman"/>
          <w:bCs/>
        </w:rPr>
        <w:t>, marcelo.ferreira@faculdadedesabara.br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34613"/>
      <w:docPartObj>
        <w:docPartGallery w:val="Page Numbers (Top of Page)"/>
        <w:docPartUnique/>
      </w:docPartObj>
    </w:sdtPr>
    <w:sdtEndPr>
      <w:rPr>
        <w:rFonts w:ascii="Times New Roman" w:hAnsi="Times New Roman" w:cs="Times New Roman"/>
        <w:sz w:val="20"/>
        <w:szCs w:val="20"/>
      </w:rPr>
    </w:sdtEndPr>
    <w:sdtContent>
      <w:p w14:paraId="3260449E" w14:textId="5F6E1164" w:rsidR="0015559B" w:rsidRPr="00C206F5" w:rsidRDefault="0015559B">
        <w:pPr>
          <w:pStyle w:val="Cabealho"/>
          <w:jc w:val="right"/>
          <w:rPr>
            <w:rFonts w:ascii="Times New Roman" w:hAnsi="Times New Roman" w:cs="Times New Roman"/>
            <w:sz w:val="20"/>
            <w:szCs w:val="20"/>
          </w:rPr>
        </w:pPr>
        <w:r w:rsidRPr="00C206F5">
          <w:rPr>
            <w:rFonts w:ascii="Times New Roman" w:hAnsi="Times New Roman" w:cs="Times New Roman"/>
            <w:noProof/>
            <w:sz w:val="20"/>
            <w:szCs w:val="20"/>
          </w:rPr>
          <w:fldChar w:fldCharType="begin"/>
        </w:r>
        <w:r w:rsidRPr="00C206F5">
          <w:rPr>
            <w:rFonts w:ascii="Times New Roman" w:hAnsi="Times New Roman" w:cs="Times New Roman"/>
            <w:noProof/>
            <w:sz w:val="20"/>
            <w:szCs w:val="20"/>
          </w:rPr>
          <w:instrText>PAGE   \* MERGEFORMAT</w:instrText>
        </w:r>
        <w:r w:rsidRPr="00C206F5">
          <w:rPr>
            <w:rFonts w:ascii="Times New Roman" w:hAnsi="Times New Roman" w:cs="Times New Roman"/>
            <w:noProof/>
            <w:sz w:val="20"/>
            <w:szCs w:val="20"/>
          </w:rPr>
          <w:fldChar w:fldCharType="separate"/>
        </w:r>
        <w:r w:rsidR="00A246B7">
          <w:rPr>
            <w:rFonts w:ascii="Times New Roman" w:hAnsi="Times New Roman" w:cs="Times New Roman"/>
            <w:noProof/>
            <w:sz w:val="20"/>
            <w:szCs w:val="20"/>
          </w:rPr>
          <w:t>17</w:t>
        </w:r>
        <w:r w:rsidRPr="00C206F5">
          <w:rPr>
            <w:rFonts w:ascii="Times New Roman" w:hAnsi="Times New Roman" w:cs="Times New Roman"/>
            <w:noProof/>
            <w:sz w:val="20"/>
            <w:szCs w:val="20"/>
          </w:rPr>
          <w:fldChar w:fldCharType="end"/>
        </w:r>
      </w:p>
    </w:sdtContent>
  </w:sdt>
  <w:p w14:paraId="1201EAF1" w14:textId="77777777" w:rsidR="00320365" w:rsidRDefault="00320365">
    <w:pPr>
      <w:pStyle w:val="Cabealh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689FA" w14:textId="77777777" w:rsidR="00DE7381" w:rsidRDefault="00DE7381" w:rsidP="00320365">
    <w:pPr>
      <w:pStyle w:val="Cabealho"/>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308578"/>
      <w:docPartObj>
        <w:docPartGallery w:val="Page Numbers (Top of Page)"/>
        <w:docPartUnique/>
      </w:docPartObj>
    </w:sdtPr>
    <w:sdtEndPr/>
    <w:sdtContent>
      <w:p w14:paraId="347C9F6C" w14:textId="36CD4523" w:rsidR="00320365" w:rsidRDefault="00320365">
        <w:pPr>
          <w:pStyle w:val="Cabealho"/>
          <w:jc w:val="right"/>
        </w:pPr>
        <w:r w:rsidRPr="007F63D2">
          <w:rPr>
            <w:rFonts w:ascii="Times New Roman" w:hAnsi="Times New Roman" w:cs="Times New Roman"/>
            <w:sz w:val="24"/>
            <w:szCs w:val="24"/>
          </w:rPr>
          <w:fldChar w:fldCharType="begin"/>
        </w:r>
        <w:r w:rsidRPr="007F63D2">
          <w:rPr>
            <w:rFonts w:ascii="Times New Roman" w:hAnsi="Times New Roman" w:cs="Times New Roman"/>
            <w:sz w:val="24"/>
            <w:szCs w:val="24"/>
          </w:rPr>
          <w:instrText>PAGE   \* MERGEFORMAT</w:instrText>
        </w:r>
        <w:r w:rsidRPr="007F63D2">
          <w:rPr>
            <w:rFonts w:ascii="Times New Roman" w:hAnsi="Times New Roman" w:cs="Times New Roman"/>
            <w:sz w:val="24"/>
            <w:szCs w:val="24"/>
          </w:rPr>
          <w:fldChar w:fldCharType="separate"/>
        </w:r>
        <w:r w:rsidR="00800975">
          <w:rPr>
            <w:rFonts w:ascii="Times New Roman" w:hAnsi="Times New Roman" w:cs="Times New Roman"/>
            <w:noProof/>
            <w:sz w:val="24"/>
            <w:szCs w:val="24"/>
          </w:rPr>
          <w:t>1</w:t>
        </w:r>
        <w:r w:rsidRPr="007F63D2">
          <w:rPr>
            <w:rFonts w:ascii="Times New Roman" w:hAnsi="Times New Roman" w:cs="Times New Roman"/>
            <w:sz w:val="24"/>
            <w:szCs w:val="24"/>
          </w:rPr>
          <w:fldChar w:fldCharType="end"/>
        </w:r>
      </w:p>
    </w:sdtContent>
  </w:sdt>
  <w:p w14:paraId="2BFCCF5F" w14:textId="77777777" w:rsidR="00320365" w:rsidRDefault="00320365" w:rsidP="00320365">
    <w:pPr>
      <w:pStyle w:val="Cabealho"/>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DA3ED5"/>
    <w:multiLevelType w:val="multilevel"/>
    <w:tmpl w:val="88D00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13"/>
    <w:rsid w:val="00003054"/>
    <w:rsid w:val="00022050"/>
    <w:rsid w:val="000533CB"/>
    <w:rsid w:val="00057DEE"/>
    <w:rsid w:val="00061384"/>
    <w:rsid w:val="00076B9F"/>
    <w:rsid w:val="00092C4E"/>
    <w:rsid w:val="00095100"/>
    <w:rsid w:val="000A7FE0"/>
    <w:rsid w:val="000F1492"/>
    <w:rsid w:val="000F7FB8"/>
    <w:rsid w:val="00124993"/>
    <w:rsid w:val="00132550"/>
    <w:rsid w:val="0015559B"/>
    <w:rsid w:val="001565D9"/>
    <w:rsid w:val="00175C70"/>
    <w:rsid w:val="001B31DB"/>
    <w:rsid w:val="001B5892"/>
    <w:rsid w:val="001C1913"/>
    <w:rsid w:val="001C672B"/>
    <w:rsid w:val="001F3BEB"/>
    <w:rsid w:val="00213139"/>
    <w:rsid w:val="00255C32"/>
    <w:rsid w:val="00280B8C"/>
    <w:rsid w:val="002955BF"/>
    <w:rsid w:val="002A0407"/>
    <w:rsid w:val="002C7C3D"/>
    <w:rsid w:val="002E5AA8"/>
    <w:rsid w:val="00304449"/>
    <w:rsid w:val="00311307"/>
    <w:rsid w:val="00320365"/>
    <w:rsid w:val="00323494"/>
    <w:rsid w:val="003316EB"/>
    <w:rsid w:val="003348F9"/>
    <w:rsid w:val="00350096"/>
    <w:rsid w:val="003506CB"/>
    <w:rsid w:val="003548AF"/>
    <w:rsid w:val="00365D87"/>
    <w:rsid w:val="00394323"/>
    <w:rsid w:val="003B4403"/>
    <w:rsid w:val="003C6408"/>
    <w:rsid w:val="003D28EE"/>
    <w:rsid w:val="003E187C"/>
    <w:rsid w:val="003F21AE"/>
    <w:rsid w:val="003F62B0"/>
    <w:rsid w:val="003F71FB"/>
    <w:rsid w:val="00437255"/>
    <w:rsid w:val="00456817"/>
    <w:rsid w:val="0045695A"/>
    <w:rsid w:val="004740BE"/>
    <w:rsid w:val="00481BD1"/>
    <w:rsid w:val="004D1BA8"/>
    <w:rsid w:val="004F6096"/>
    <w:rsid w:val="00536623"/>
    <w:rsid w:val="00545503"/>
    <w:rsid w:val="00560BC0"/>
    <w:rsid w:val="0056596A"/>
    <w:rsid w:val="00583B57"/>
    <w:rsid w:val="00584432"/>
    <w:rsid w:val="005C7154"/>
    <w:rsid w:val="00612760"/>
    <w:rsid w:val="00620AFB"/>
    <w:rsid w:val="00627FB8"/>
    <w:rsid w:val="00684145"/>
    <w:rsid w:val="006A37A3"/>
    <w:rsid w:val="006A699E"/>
    <w:rsid w:val="006C1C80"/>
    <w:rsid w:val="006C39DD"/>
    <w:rsid w:val="006C4FB4"/>
    <w:rsid w:val="006E2DF2"/>
    <w:rsid w:val="006E641C"/>
    <w:rsid w:val="00744A4F"/>
    <w:rsid w:val="00761128"/>
    <w:rsid w:val="00786BB6"/>
    <w:rsid w:val="007933A1"/>
    <w:rsid w:val="007B34A9"/>
    <w:rsid w:val="007B5E9B"/>
    <w:rsid w:val="007C37E1"/>
    <w:rsid w:val="007D31D7"/>
    <w:rsid w:val="007E4733"/>
    <w:rsid w:val="007F63D2"/>
    <w:rsid w:val="007F7491"/>
    <w:rsid w:val="00800975"/>
    <w:rsid w:val="008300DA"/>
    <w:rsid w:val="00832FE8"/>
    <w:rsid w:val="00853466"/>
    <w:rsid w:val="00884C7E"/>
    <w:rsid w:val="00890247"/>
    <w:rsid w:val="00893E7E"/>
    <w:rsid w:val="00896C74"/>
    <w:rsid w:val="008A53FA"/>
    <w:rsid w:val="008A5F54"/>
    <w:rsid w:val="008B389A"/>
    <w:rsid w:val="008F3BE8"/>
    <w:rsid w:val="0090754F"/>
    <w:rsid w:val="00914C34"/>
    <w:rsid w:val="00921B81"/>
    <w:rsid w:val="00924BDA"/>
    <w:rsid w:val="00924E63"/>
    <w:rsid w:val="0092538E"/>
    <w:rsid w:val="009610A5"/>
    <w:rsid w:val="00981233"/>
    <w:rsid w:val="00981E16"/>
    <w:rsid w:val="009853EF"/>
    <w:rsid w:val="009C136C"/>
    <w:rsid w:val="009C7D12"/>
    <w:rsid w:val="009D4DDD"/>
    <w:rsid w:val="00A13E0C"/>
    <w:rsid w:val="00A246B7"/>
    <w:rsid w:val="00A3793D"/>
    <w:rsid w:val="00A70443"/>
    <w:rsid w:val="00AB2432"/>
    <w:rsid w:val="00AF0271"/>
    <w:rsid w:val="00AF05BE"/>
    <w:rsid w:val="00B10E48"/>
    <w:rsid w:val="00B2079F"/>
    <w:rsid w:val="00B2620A"/>
    <w:rsid w:val="00B8082F"/>
    <w:rsid w:val="00B826D6"/>
    <w:rsid w:val="00B97D05"/>
    <w:rsid w:val="00BB5F7C"/>
    <w:rsid w:val="00BF1487"/>
    <w:rsid w:val="00C15E1F"/>
    <w:rsid w:val="00C206F5"/>
    <w:rsid w:val="00C4080F"/>
    <w:rsid w:val="00C53D59"/>
    <w:rsid w:val="00C6551D"/>
    <w:rsid w:val="00C74B6A"/>
    <w:rsid w:val="00C7705B"/>
    <w:rsid w:val="00C86164"/>
    <w:rsid w:val="00CA1A65"/>
    <w:rsid w:val="00CC43C3"/>
    <w:rsid w:val="00CE5364"/>
    <w:rsid w:val="00CF59BD"/>
    <w:rsid w:val="00CF5C54"/>
    <w:rsid w:val="00D00F4D"/>
    <w:rsid w:val="00D11CE2"/>
    <w:rsid w:val="00D328AA"/>
    <w:rsid w:val="00D87EEA"/>
    <w:rsid w:val="00D900CB"/>
    <w:rsid w:val="00DA2FCB"/>
    <w:rsid w:val="00DC14B2"/>
    <w:rsid w:val="00DC2666"/>
    <w:rsid w:val="00DC388A"/>
    <w:rsid w:val="00DC7F8D"/>
    <w:rsid w:val="00DD52FA"/>
    <w:rsid w:val="00DE7381"/>
    <w:rsid w:val="00DF2213"/>
    <w:rsid w:val="00E00461"/>
    <w:rsid w:val="00E47DC2"/>
    <w:rsid w:val="00E52A48"/>
    <w:rsid w:val="00E56DB6"/>
    <w:rsid w:val="00E80FCA"/>
    <w:rsid w:val="00E82B88"/>
    <w:rsid w:val="00E86BBE"/>
    <w:rsid w:val="00E94D87"/>
    <w:rsid w:val="00EA568E"/>
    <w:rsid w:val="00EC3C18"/>
    <w:rsid w:val="00EF0108"/>
    <w:rsid w:val="00F01D84"/>
    <w:rsid w:val="00F32852"/>
    <w:rsid w:val="00F82414"/>
    <w:rsid w:val="00F84713"/>
    <w:rsid w:val="00F854FF"/>
    <w:rsid w:val="00F87272"/>
    <w:rsid w:val="00F97CFF"/>
    <w:rsid w:val="00FB199D"/>
    <w:rsid w:val="00FB3E79"/>
    <w:rsid w:val="00FF0C7E"/>
    <w:rsid w:val="00FF77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E423E"/>
  <w15:docId w15:val="{4EF3A434-64C5-48E2-A699-C78D8D29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6B9F"/>
    <w:pPr>
      <w:spacing w:line="240" w:lineRule="auto"/>
    </w:pPr>
    <w:rPr>
      <w:rFonts w:ascii="Times New Roman" w:hAnsi="Times New Roman" w:cs="Times New Roman"/>
      <w:sz w:val="24"/>
      <w:szCs w:val="24"/>
    </w:rPr>
  </w:style>
  <w:style w:type="paragraph" w:styleId="Ttulo1">
    <w:name w:val="heading 1"/>
    <w:basedOn w:val="Normal"/>
    <w:next w:val="Normal"/>
    <w:uiPriority w:val="9"/>
    <w:qFormat/>
    <w:pPr>
      <w:keepNext/>
      <w:keepLines/>
      <w:spacing w:before="400" w:after="120" w:line="276" w:lineRule="auto"/>
      <w:outlineLvl w:val="0"/>
    </w:pPr>
    <w:rPr>
      <w:rFonts w:ascii="Arial" w:hAnsi="Arial" w:cs="Arial"/>
      <w:sz w:val="40"/>
      <w:szCs w:val="40"/>
    </w:rPr>
  </w:style>
  <w:style w:type="paragraph" w:styleId="Ttulo2">
    <w:name w:val="heading 2"/>
    <w:basedOn w:val="Normal"/>
    <w:next w:val="Normal"/>
    <w:uiPriority w:val="9"/>
    <w:semiHidden/>
    <w:unhideWhenUsed/>
    <w:qFormat/>
    <w:pPr>
      <w:keepNext/>
      <w:keepLines/>
      <w:spacing w:before="360" w:after="120" w:line="276" w:lineRule="auto"/>
      <w:outlineLvl w:val="1"/>
    </w:pPr>
    <w:rPr>
      <w:rFonts w:ascii="Arial" w:hAnsi="Arial" w:cs="Arial"/>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line="276" w:lineRule="auto"/>
    </w:pPr>
    <w:rPr>
      <w:rFonts w:ascii="Arial" w:hAnsi="Arial" w:cs="Arial"/>
      <w:sz w:val="52"/>
      <w:szCs w:val="52"/>
    </w:rPr>
  </w:style>
  <w:style w:type="paragraph" w:styleId="Subttulo">
    <w:name w:val="Subtitle"/>
    <w:basedOn w:val="Normal"/>
    <w:next w:val="Normal"/>
    <w:uiPriority w:val="11"/>
    <w:qFormat/>
    <w:pPr>
      <w:keepNext/>
      <w:keepLines/>
      <w:spacing w:after="320" w:line="276" w:lineRule="auto"/>
    </w:pPr>
    <w:rPr>
      <w:rFonts w:ascii="Arial" w:hAnsi="Arial" w:cs="Arial"/>
      <w:color w:val="666666"/>
      <w:sz w:val="30"/>
      <w:szCs w:val="30"/>
    </w:rPr>
  </w:style>
  <w:style w:type="paragraph" w:styleId="CabealhodoSumrio">
    <w:name w:val="TOC Heading"/>
    <w:basedOn w:val="Ttulo1"/>
    <w:next w:val="Normal"/>
    <w:uiPriority w:val="39"/>
    <w:unhideWhenUsed/>
    <w:qFormat/>
    <w:rsid w:val="00175C70"/>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Sumrio2">
    <w:name w:val="toc 2"/>
    <w:basedOn w:val="Normal"/>
    <w:next w:val="Normal"/>
    <w:autoRedefine/>
    <w:uiPriority w:val="39"/>
    <w:unhideWhenUsed/>
    <w:rsid w:val="00175C70"/>
    <w:pPr>
      <w:spacing w:after="100" w:line="259" w:lineRule="auto"/>
      <w:ind w:left="220"/>
    </w:pPr>
    <w:rPr>
      <w:rFonts w:asciiTheme="minorHAnsi" w:eastAsiaTheme="minorEastAsia" w:hAnsiTheme="minorHAnsi"/>
      <w:sz w:val="22"/>
      <w:szCs w:val="22"/>
    </w:rPr>
  </w:style>
  <w:style w:type="paragraph" w:styleId="Sumrio1">
    <w:name w:val="toc 1"/>
    <w:basedOn w:val="Normal"/>
    <w:next w:val="Normal"/>
    <w:autoRedefine/>
    <w:uiPriority w:val="39"/>
    <w:unhideWhenUsed/>
    <w:rsid w:val="00175C70"/>
    <w:pPr>
      <w:spacing w:after="100" w:line="259" w:lineRule="auto"/>
    </w:pPr>
    <w:rPr>
      <w:rFonts w:asciiTheme="minorHAnsi" w:eastAsiaTheme="minorEastAsia" w:hAnsiTheme="minorHAnsi"/>
      <w:sz w:val="22"/>
      <w:szCs w:val="22"/>
    </w:rPr>
  </w:style>
  <w:style w:type="paragraph" w:styleId="Sumrio3">
    <w:name w:val="toc 3"/>
    <w:basedOn w:val="Normal"/>
    <w:next w:val="Normal"/>
    <w:autoRedefine/>
    <w:uiPriority w:val="39"/>
    <w:unhideWhenUsed/>
    <w:rsid w:val="00175C70"/>
    <w:pPr>
      <w:spacing w:after="100" w:line="360" w:lineRule="auto"/>
    </w:pPr>
    <w:rPr>
      <w:rFonts w:asciiTheme="minorHAnsi" w:eastAsiaTheme="minorEastAsia" w:hAnsiTheme="minorHAnsi"/>
      <w:sz w:val="22"/>
      <w:szCs w:val="22"/>
    </w:rPr>
  </w:style>
  <w:style w:type="character" w:styleId="Refdecomentrio">
    <w:name w:val="annotation reference"/>
    <w:basedOn w:val="Fontepargpadro"/>
    <w:uiPriority w:val="99"/>
    <w:semiHidden/>
    <w:unhideWhenUsed/>
    <w:rsid w:val="008B389A"/>
    <w:rPr>
      <w:sz w:val="16"/>
      <w:szCs w:val="16"/>
    </w:rPr>
  </w:style>
  <w:style w:type="paragraph" w:styleId="Textodecomentrio">
    <w:name w:val="annotation text"/>
    <w:basedOn w:val="Normal"/>
    <w:link w:val="TextodecomentrioChar"/>
    <w:uiPriority w:val="99"/>
    <w:semiHidden/>
    <w:unhideWhenUsed/>
    <w:rsid w:val="008B389A"/>
    <w:rPr>
      <w:rFonts w:ascii="Arial" w:hAnsi="Arial" w:cs="Arial"/>
      <w:sz w:val="20"/>
      <w:szCs w:val="20"/>
    </w:rPr>
  </w:style>
  <w:style w:type="character" w:customStyle="1" w:styleId="TextodecomentrioChar">
    <w:name w:val="Texto de comentário Char"/>
    <w:basedOn w:val="Fontepargpadro"/>
    <w:link w:val="Textodecomentrio"/>
    <w:uiPriority w:val="99"/>
    <w:semiHidden/>
    <w:rsid w:val="008B389A"/>
    <w:rPr>
      <w:sz w:val="20"/>
      <w:szCs w:val="20"/>
    </w:rPr>
  </w:style>
  <w:style w:type="paragraph" w:styleId="Assuntodocomentrio">
    <w:name w:val="annotation subject"/>
    <w:basedOn w:val="Textodecomentrio"/>
    <w:next w:val="Textodecomentrio"/>
    <w:link w:val="AssuntodocomentrioChar"/>
    <w:uiPriority w:val="99"/>
    <w:semiHidden/>
    <w:unhideWhenUsed/>
    <w:rsid w:val="008B389A"/>
    <w:rPr>
      <w:b/>
      <w:bCs/>
    </w:rPr>
  </w:style>
  <w:style w:type="character" w:customStyle="1" w:styleId="AssuntodocomentrioChar">
    <w:name w:val="Assunto do comentário Char"/>
    <w:basedOn w:val="TextodecomentrioChar"/>
    <w:link w:val="Assuntodocomentrio"/>
    <w:uiPriority w:val="99"/>
    <w:semiHidden/>
    <w:rsid w:val="008B389A"/>
    <w:rPr>
      <w:b/>
      <w:bCs/>
      <w:sz w:val="20"/>
      <w:szCs w:val="20"/>
    </w:rPr>
  </w:style>
  <w:style w:type="paragraph" w:styleId="Textodebalo">
    <w:name w:val="Balloon Text"/>
    <w:basedOn w:val="Normal"/>
    <w:link w:val="TextodebaloChar"/>
    <w:uiPriority w:val="99"/>
    <w:semiHidden/>
    <w:unhideWhenUsed/>
    <w:rsid w:val="008B389A"/>
    <w:rPr>
      <w:rFonts w:ascii="Segoe UI" w:hAnsi="Segoe UI" w:cs="Segoe UI"/>
      <w:sz w:val="18"/>
      <w:szCs w:val="18"/>
    </w:rPr>
  </w:style>
  <w:style w:type="character" w:customStyle="1" w:styleId="TextodebaloChar">
    <w:name w:val="Texto de balão Char"/>
    <w:basedOn w:val="Fontepargpadro"/>
    <w:link w:val="Textodebalo"/>
    <w:uiPriority w:val="99"/>
    <w:semiHidden/>
    <w:rsid w:val="008B389A"/>
    <w:rPr>
      <w:rFonts w:ascii="Segoe UI" w:hAnsi="Segoe UI" w:cs="Segoe UI"/>
      <w:sz w:val="18"/>
      <w:szCs w:val="18"/>
    </w:rPr>
  </w:style>
  <w:style w:type="paragraph" w:styleId="Cabealho">
    <w:name w:val="header"/>
    <w:basedOn w:val="Normal"/>
    <w:link w:val="CabealhoChar"/>
    <w:uiPriority w:val="99"/>
    <w:unhideWhenUsed/>
    <w:rsid w:val="00FF77D6"/>
    <w:pPr>
      <w:tabs>
        <w:tab w:val="center" w:pos="4252"/>
        <w:tab w:val="right" w:pos="8504"/>
      </w:tabs>
    </w:pPr>
    <w:rPr>
      <w:rFonts w:ascii="Arial" w:hAnsi="Arial" w:cs="Arial"/>
      <w:sz w:val="22"/>
      <w:szCs w:val="22"/>
    </w:rPr>
  </w:style>
  <w:style w:type="character" w:customStyle="1" w:styleId="CabealhoChar">
    <w:name w:val="Cabeçalho Char"/>
    <w:basedOn w:val="Fontepargpadro"/>
    <w:link w:val="Cabealho"/>
    <w:uiPriority w:val="99"/>
    <w:rsid w:val="00FF77D6"/>
  </w:style>
  <w:style w:type="paragraph" w:styleId="Rodap">
    <w:name w:val="footer"/>
    <w:basedOn w:val="Normal"/>
    <w:link w:val="RodapChar"/>
    <w:uiPriority w:val="99"/>
    <w:unhideWhenUsed/>
    <w:rsid w:val="00FF77D6"/>
    <w:pPr>
      <w:tabs>
        <w:tab w:val="center" w:pos="4252"/>
        <w:tab w:val="right" w:pos="8504"/>
      </w:tabs>
    </w:pPr>
    <w:rPr>
      <w:rFonts w:ascii="Arial" w:hAnsi="Arial" w:cs="Arial"/>
      <w:sz w:val="22"/>
      <w:szCs w:val="22"/>
    </w:rPr>
  </w:style>
  <w:style w:type="character" w:customStyle="1" w:styleId="RodapChar">
    <w:name w:val="Rodapé Char"/>
    <w:basedOn w:val="Fontepargpadro"/>
    <w:link w:val="Rodap"/>
    <w:uiPriority w:val="99"/>
    <w:rsid w:val="00FF77D6"/>
  </w:style>
  <w:style w:type="character" w:styleId="Hiperlink">
    <w:name w:val="Hyperlink"/>
    <w:basedOn w:val="Fontepargpadro"/>
    <w:uiPriority w:val="99"/>
    <w:unhideWhenUsed/>
    <w:rsid w:val="00EA568E"/>
    <w:rPr>
      <w:color w:val="0000FF"/>
      <w:u w:val="single"/>
    </w:rPr>
  </w:style>
  <w:style w:type="character" w:styleId="HiperlinkVisitado">
    <w:name w:val="FollowedHyperlink"/>
    <w:basedOn w:val="Fontepargpadro"/>
    <w:uiPriority w:val="99"/>
    <w:semiHidden/>
    <w:unhideWhenUsed/>
    <w:rsid w:val="007D31D7"/>
    <w:rPr>
      <w:color w:val="800080" w:themeColor="followedHyperlink"/>
      <w:u w:val="single"/>
    </w:rPr>
  </w:style>
  <w:style w:type="paragraph" w:styleId="PargrafodaLista">
    <w:name w:val="List Paragraph"/>
    <w:basedOn w:val="Normal"/>
    <w:uiPriority w:val="34"/>
    <w:qFormat/>
    <w:rsid w:val="009853EF"/>
    <w:pPr>
      <w:spacing w:line="276" w:lineRule="auto"/>
      <w:ind w:left="720"/>
      <w:contextualSpacing/>
    </w:pPr>
    <w:rPr>
      <w:rFonts w:ascii="Arial" w:hAnsi="Arial" w:cs="Arial"/>
      <w:sz w:val="22"/>
      <w:szCs w:val="22"/>
    </w:rPr>
  </w:style>
  <w:style w:type="paragraph" w:styleId="Textodenotaderodap">
    <w:name w:val="footnote text"/>
    <w:basedOn w:val="Normal"/>
    <w:link w:val="TextodenotaderodapChar"/>
    <w:uiPriority w:val="99"/>
    <w:unhideWhenUsed/>
    <w:rsid w:val="00B8082F"/>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rsid w:val="00B8082F"/>
    <w:rPr>
      <w:rFonts w:ascii="Calibri" w:eastAsia="Calibri" w:hAnsi="Calibri" w:cs="Calibri"/>
      <w:sz w:val="20"/>
      <w:szCs w:val="20"/>
    </w:rPr>
  </w:style>
  <w:style w:type="character" w:styleId="Refdenotaderodap">
    <w:name w:val="footnote reference"/>
    <w:basedOn w:val="Fontepargpadro"/>
    <w:uiPriority w:val="99"/>
    <w:unhideWhenUsed/>
    <w:rsid w:val="00B8082F"/>
    <w:rPr>
      <w:vertAlign w:val="superscript"/>
    </w:rPr>
  </w:style>
  <w:style w:type="paragraph" w:customStyle="1" w:styleId="Standard">
    <w:name w:val="Standard"/>
    <w:rsid w:val="00B8082F"/>
    <w:pPr>
      <w:suppressAutoHyphens/>
      <w:autoSpaceDN w:val="0"/>
      <w:spacing w:after="160" w:line="240" w:lineRule="auto"/>
      <w:textAlignment w:val="baseline"/>
    </w:pPr>
    <w:rPr>
      <w:rFonts w:ascii="Calibri" w:eastAsia="Calibri" w:hAnsi="Calibri" w:cs="F"/>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56041">
      <w:bodyDiv w:val="1"/>
      <w:marLeft w:val="0"/>
      <w:marRight w:val="0"/>
      <w:marTop w:val="0"/>
      <w:marBottom w:val="0"/>
      <w:divBdr>
        <w:top w:val="none" w:sz="0" w:space="0" w:color="auto"/>
        <w:left w:val="none" w:sz="0" w:space="0" w:color="auto"/>
        <w:bottom w:val="none" w:sz="0" w:space="0" w:color="auto"/>
        <w:right w:val="none" w:sz="0" w:space="0" w:color="auto"/>
      </w:divBdr>
      <w:divsChild>
        <w:div w:id="855769197">
          <w:marLeft w:val="0"/>
          <w:marRight w:val="0"/>
          <w:marTop w:val="0"/>
          <w:marBottom w:val="0"/>
          <w:divBdr>
            <w:top w:val="none" w:sz="0" w:space="0" w:color="auto"/>
            <w:left w:val="none" w:sz="0" w:space="0" w:color="auto"/>
            <w:bottom w:val="none" w:sz="0" w:space="0" w:color="auto"/>
            <w:right w:val="none" w:sz="0" w:space="0" w:color="auto"/>
          </w:divBdr>
          <w:divsChild>
            <w:div w:id="1450271996">
              <w:marLeft w:val="0"/>
              <w:marRight w:val="0"/>
              <w:marTop w:val="0"/>
              <w:marBottom w:val="0"/>
              <w:divBdr>
                <w:top w:val="none" w:sz="0" w:space="0" w:color="auto"/>
                <w:left w:val="none" w:sz="0" w:space="0" w:color="auto"/>
                <w:bottom w:val="none" w:sz="0" w:space="0" w:color="auto"/>
                <w:right w:val="none" w:sz="0" w:space="0" w:color="auto"/>
              </w:divBdr>
              <w:divsChild>
                <w:div w:id="14315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784">
          <w:marLeft w:val="0"/>
          <w:marRight w:val="0"/>
          <w:marTop w:val="0"/>
          <w:marBottom w:val="0"/>
          <w:divBdr>
            <w:top w:val="none" w:sz="0" w:space="0" w:color="auto"/>
            <w:left w:val="none" w:sz="0" w:space="0" w:color="auto"/>
            <w:bottom w:val="none" w:sz="0" w:space="0" w:color="auto"/>
            <w:right w:val="none" w:sz="0" w:space="0" w:color="auto"/>
          </w:divBdr>
          <w:divsChild>
            <w:div w:id="16256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94356">
      <w:bodyDiv w:val="1"/>
      <w:marLeft w:val="0"/>
      <w:marRight w:val="0"/>
      <w:marTop w:val="0"/>
      <w:marBottom w:val="0"/>
      <w:divBdr>
        <w:top w:val="none" w:sz="0" w:space="0" w:color="auto"/>
        <w:left w:val="none" w:sz="0" w:space="0" w:color="auto"/>
        <w:bottom w:val="none" w:sz="0" w:space="0" w:color="auto"/>
        <w:right w:val="none" w:sz="0" w:space="0" w:color="auto"/>
      </w:divBdr>
    </w:div>
    <w:div w:id="1714042920">
      <w:bodyDiv w:val="1"/>
      <w:marLeft w:val="0"/>
      <w:marRight w:val="0"/>
      <w:marTop w:val="0"/>
      <w:marBottom w:val="0"/>
      <w:divBdr>
        <w:top w:val="none" w:sz="0" w:space="0" w:color="auto"/>
        <w:left w:val="none" w:sz="0" w:space="0" w:color="auto"/>
        <w:bottom w:val="none" w:sz="0" w:space="0" w:color="auto"/>
        <w:right w:val="none" w:sz="0" w:space="0" w:color="auto"/>
      </w:divBdr>
    </w:div>
    <w:div w:id="1765415367">
      <w:bodyDiv w:val="1"/>
      <w:marLeft w:val="0"/>
      <w:marRight w:val="0"/>
      <w:marTop w:val="0"/>
      <w:marBottom w:val="0"/>
      <w:divBdr>
        <w:top w:val="none" w:sz="0" w:space="0" w:color="auto"/>
        <w:left w:val="none" w:sz="0" w:space="0" w:color="auto"/>
        <w:bottom w:val="none" w:sz="0" w:space="0" w:color="auto"/>
        <w:right w:val="none" w:sz="0" w:space="0" w:color="auto"/>
      </w:divBdr>
    </w:div>
    <w:div w:id="17974066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planalto.gov.br/ccivil_03/_ato2015-2018/2015/lei/l13105.htm" TargetMode="External"/><Relationship Id="rId12" Type="http://schemas.openxmlformats.org/officeDocument/2006/relationships/hyperlink" Target="https://www.planalto.gov.br/ccivil_03/leis/l5478.htm" TargetMode="External"/><Relationship Id="rId13" Type="http://schemas.openxmlformats.org/officeDocument/2006/relationships/hyperlink" Target="%20https://www.planalto.gov.br/ccivil_03/leis/2002/l10406compilada.htmompilada" TargetMode="External"/><Relationship Id="rId14" Type="http://schemas.openxmlformats.org/officeDocument/2006/relationships/hyperlink" Target="https://www.cnj.jus.br/wp-content/uploads/conteudo/arquivo/2018/09/49b47a6cf9185359256c22766d5076eb.pdf" TargetMode="External"/><Relationship Id="rId15" Type="http://schemas.openxmlformats.org/officeDocument/2006/relationships/hyperlink" Target="%20https://www.cnj.jus.br/wp-content/uploads/2021/10/protocolo-para-julgamento-com-perspectiva-de-genero-cnj-24-03-2022.pdftocolo-para-julgamento-com-perspectiva-de-genero-cnj-24-03-2022.pdf" TargetMode="Externa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yperlink" Target="%20https://www.planalto.gov.br/ccivil_03/constituicao/constituicao.htmi&#231;&#227;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camila.diniz@funcesi.br" TargetMode="External"/><Relationship Id="rId4" Type="http://schemas.openxmlformats.org/officeDocument/2006/relationships/hyperlink" Target="mailto:marcelo.ferreira@funcesi.br" TargetMode="External"/><Relationship Id="rId5" Type="http://schemas.openxmlformats.org/officeDocument/2006/relationships/hyperlink" Target="mailto:marcelos.bh01@gmail.com" TargetMode="External"/><Relationship Id="rId1" Type="http://schemas.openxmlformats.org/officeDocument/2006/relationships/hyperlink" Target="mailto:grazieledai1234@gmail.com" TargetMode="External"/><Relationship Id="rId2" Type="http://schemas.openxmlformats.org/officeDocument/2006/relationships/hyperlink" Target="mailto:laugsoliveira12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5C5F-4E41-0947-806E-F06FC7AB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7699</Words>
  <Characters>41578</Characters>
  <Application>Microsoft Macintosh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#fun_bib_07</dc:creator>
  <cp:lastModifiedBy>Usuário do Microsoft Office</cp:lastModifiedBy>
  <cp:revision>6</cp:revision>
  <dcterms:created xsi:type="dcterms:W3CDTF">2024-12-13T00:03:00Z</dcterms:created>
  <dcterms:modified xsi:type="dcterms:W3CDTF">2024-12-13T18:56:00Z</dcterms:modified>
</cp:coreProperties>
</file>